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623" w:rsidRDefault="00F52623" w:rsidP="001D0519">
      <w:pPr>
        <w:jc w:val="right"/>
        <w:rPr>
          <w:rFonts w:ascii="Arial" w:hAnsi="Arial" w:cs="Arial"/>
          <w:b/>
          <w:sz w:val="28"/>
        </w:rPr>
      </w:pPr>
      <w:r>
        <w:rPr>
          <w:rFonts w:ascii="Arial" w:hAnsi="Arial" w:cs="Arial"/>
          <w:b/>
          <w:sz w:val="28"/>
        </w:rPr>
        <w:t xml:space="preserve">Appendix 3 </w:t>
      </w:r>
    </w:p>
    <w:p w:rsidR="00F52623" w:rsidRDefault="00F52623" w:rsidP="001D0519">
      <w:pPr>
        <w:rPr>
          <w:rFonts w:ascii="Arial" w:hAnsi="Arial" w:cs="Arial"/>
          <w:b/>
          <w:sz w:val="28"/>
        </w:rPr>
      </w:pPr>
      <w:r>
        <w:rPr>
          <w:rFonts w:ascii="Arial" w:hAnsi="Arial" w:cs="Arial"/>
          <w:b/>
          <w:noProof/>
          <w:sz w:val="28"/>
          <w:lang w:eastAsia="en-GB"/>
        </w:rPr>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F52623" w:rsidRDefault="00F52623" w:rsidP="001D0519">
      <w:pPr>
        <w:jc w:val="center"/>
        <w:rPr>
          <w:rFonts w:ascii="Arial" w:hAnsi="Arial" w:cs="Arial"/>
          <w:b/>
          <w:sz w:val="24"/>
          <w:szCs w:val="24"/>
        </w:rPr>
      </w:pPr>
      <w:r>
        <w:rPr>
          <w:rFonts w:ascii="Arial" w:hAnsi="Arial" w:cs="Arial"/>
          <w:b/>
          <w:sz w:val="24"/>
          <w:szCs w:val="24"/>
        </w:rPr>
        <w:t xml:space="preserve"> Job Description </w:t>
      </w:r>
    </w:p>
    <w:p w:rsidR="001D0519" w:rsidRDefault="001D0519" w:rsidP="001D0519">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480"/>
      </w:tblGrid>
      <w:tr w:rsidR="00F52623" w:rsidTr="001D0519">
        <w:tc>
          <w:tcPr>
            <w:tcW w:w="2515"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Job title</w:t>
            </w:r>
          </w:p>
        </w:tc>
        <w:tc>
          <w:tcPr>
            <w:tcW w:w="6480"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Teaching Fellow</w:t>
            </w:r>
            <w:r w:rsidR="00CB4888">
              <w:rPr>
                <w:rFonts w:ascii="Arial" w:hAnsi="Arial" w:cs="Arial"/>
                <w:sz w:val="22"/>
                <w:szCs w:val="22"/>
              </w:rPr>
              <w:t xml:space="preserve"> </w:t>
            </w:r>
            <w:r w:rsidR="008672C0">
              <w:rPr>
                <w:rFonts w:ascii="Arial" w:hAnsi="Arial" w:cs="Arial"/>
                <w:sz w:val="22"/>
                <w:szCs w:val="22"/>
              </w:rPr>
              <w:t xml:space="preserve">in Marketing </w:t>
            </w:r>
          </w:p>
        </w:tc>
      </w:tr>
      <w:tr w:rsidR="00F52623" w:rsidTr="001D0519">
        <w:tc>
          <w:tcPr>
            <w:tcW w:w="2515"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Department/School</w:t>
            </w:r>
          </w:p>
        </w:tc>
        <w:tc>
          <w:tcPr>
            <w:tcW w:w="6480" w:type="dxa"/>
            <w:tcBorders>
              <w:top w:val="single" w:sz="4" w:space="0" w:color="auto"/>
              <w:left w:val="single" w:sz="4" w:space="0" w:color="auto"/>
              <w:bottom w:val="single" w:sz="4" w:space="0" w:color="auto"/>
              <w:right w:val="single" w:sz="4" w:space="0" w:color="auto"/>
            </w:tcBorders>
          </w:tcPr>
          <w:p w:rsidR="00F52623" w:rsidRDefault="00B35236" w:rsidP="001D0519">
            <w:pPr>
              <w:rPr>
                <w:rFonts w:ascii="Arial" w:hAnsi="Arial" w:cs="Arial"/>
                <w:sz w:val="22"/>
                <w:szCs w:val="22"/>
              </w:rPr>
            </w:pPr>
            <w:r>
              <w:rPr>
                <w:rFonts w:ascii="Arial" w:hAnsi="Arial" w:cs="Arial"/>
                <w:sz w:val="22"/>
                <w:szCs w:val="22"/>
              </w:rPr>
              <w:t xml:space="preserve">School of Management </w:t>
            </w:r>
          </w:p>
        </w:tc>
      </w:tr>
      <w:tr w:rsidR="00F52623" w:rsidTr="001D0519">
        <w:tc>
          <w:tcPr>
            <w:tcW w:w="2515"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Job family</w:t>
            </w:r>
          </w:p>
        </w:tc>
        <w:tc>
          <w:tcPr>
            <w:tcW w:w="6480"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Education and Research</w:t>
            </w:r>
          </w:p>
        </w:tc>
      </w:tr>
      <w:tr w:rsidR="00F52623" w:rsidTr="001D0519">
        <w:tc>
          <w:tcPr>
            <w:tcW w:w="2515"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Grade</w:t>
            </w:r>
          </w:p>
        </w:tc>
        <w:tc>
          <w:tcPr>
            <w:tcW w:w="6480"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8</w:t>
            </w:r>
          </w:p>
        </w:tc>
      </w:tr>
      <w:tr w:rsidR="00F52623" w:rsidTr="001D0519">
        <w:tc>
          <w:tcPr>
            <w:tcW w:w="2515"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Reporting to</w:t>
            </w:r>
          </w:p>
        </w:tc>
        <w:tc>
          <w:tcPr>
            <w:tcW w:w="6480" w:type="dxa"/>
            <w:tcBorders>
              <w:top w:val="single" w:sz="4" w:space="0" w:color="auto"/>
              <w:left w:val="single" w:sz="4" w:space="0" w:color="auto"/>
              <w:bottom w:val="single" w:sz="4" w:space="0" w:color="auto"/>
              <w:right w:val="single" w:sz="4" w:space="0" w:color="auto"/>
            </w:tcBorders>
            <w:hideMark/>
          </w:tcPr>
          <w:p w:rsidR="00F52623" w:rsidRDefault="00B35236" w:rsidP="001D0519">
            <w:pPr>
              <w:rPr>
                <w:rFonts w:ascii="Arial" w:hAnsi="Arial" w:cs="Arial"/>
                <w:sz w:val="22"/>
                <w:szCs w:val="22"/>
              </w:rPr>
            </w:pPr>
            <w:r>
              <w:rPr>
                <w:rFonts w:ascii="Arial" w:hAnsi="Arial" w:cs="Arial"/>
                <w:sz w:val="22"/>
                <w:szCs w:val="22"/>
              </w:rPr>
              <w:t xml:space="preserve">Head of Division </w:t>
            </w:r>
          </w:p>
        </w:tc>
      </w:tr>
      <w:tr w:rsidR="00F52623" w:rsidTr="001D0519">
        <w:tc>
          <w:tcPr>
            <w:tcW w:w="2515"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Responsible</w:t>
            </w:r>
            <w:r w:rsidR="001D0519">
              <w:rPr>
                <w:rFonts w:ascii="Arial" w:hAnsi="Arial" w:cs="Arial"/>
                <w:b/>
                <w:sz w:val="22"/>
                <w:szCs w:val="22"/>
              </w:rPr>
              <w:t xml:space="preserve"> </w:t>
            </w:r>
            <w:r>
              <w:rPr>
                <w:rFonts w:ascii="Arial" w:hAnsi="Arial" w:cs="Arial"/>
                <w:b/>
                <w:sz w:val="22"/>
                <w:szCs w:val="22"/>
              </w:rPr>
              <w:t>for</w:t>
            </w:r>
          </w:p>
        </w:tc>
        <w:tc>
          <w:tcPr>
            <w:tcW w:w="6480"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 xml:space="preserve">May coordinate the work of less experienced Teaching Fellows, casual staff and/or postgraduate tutors or demonstrators  </w:t>
            </w:r>
          </w:p>
        </w:tc>
      </w:tr>
      <w:tr w:rsidR="00F52623" w:rsidTr="001D0519">
        <w:tc>
          <w:tcPr>
            <w:tcW w:w="2515"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Location</w:t>
            </w:r>
          </w:p>
        </w:tc>
        <w:tc>
          <w:tcPr>
            <w:tcW w:w="6480"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 xml:space="preserve">University of Bath premises </w:t>
            </w:r>
          </w:p>
        </w:tc>
      </w:tr>
    </w:tbl>
    <w:p w:rsidR="00F52623" w:rsidRDefault="00F52623" w:rsidP="001D0519">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650EC" w:rsidRPr="0076582B" w:rsidTr="001D0519">
        <w:tc>
          <w:tcPr>
            <w:tcW w:w="9016" w:type="dxa"/>
            <w:shd w:val="clear" w:color="auto" w:fill="DAEEF3"/>
          </w:tcPr>
          <w:p w:rsidR="00D650EC" w:rsidRPr="0076582B" w:rsidRDefault="00D650EC" w:rsidP="001D0519">
            <w:pPr>
              <w:rPr>
                <w:rFonts w:ascii="Arial" w:hAnsi="Arial" w:cs="Arial"/>
                <w:b/>
                <w:sz w:val="22"/>
                <w:szCs w:val="22"/>
              </w:rPr>
            </w:pPr>
            <w:r w:rsidRPr="0076582B">
              <w:rPr>
                <w:rFonts w:ascii="Arial" w:hAnsi="Arial" w:cs="Arial"/>
                <w:b/>
                <w:sz w:val="22"/>
                <w:szCs w:val="22"/>
              </w:rPr>
              <w:t>Background and context</w:t>
            </w:r>
          </w:p>
        </w:tc>
      </w:tr>
      <w:tr w:rsidR="00D650EC" w:rsidRPr="0076582B" w:rsidTr="001D0519">
        <w:tc>
          <w:tcPr>
            <w:tcW w:w="9016" w:type="dxa"/>
            <w:tcBorders>
              <w:bottom w:val="single" w:sz="4" w:space="0" w:color="auto"/>
            </w:tcBorders>
            <w:shd w:val="clear" w:color="auto" w:fill="auto"/>
          </w:tcPr>
          <w:p w:rsidR="001D0519" w:rsidRDefault="001D0519" w:rsidP="001D0519">
            <w:pPr>
              <w:jc w:val="both"/>
              <w:rPr>
                <w:rFonts w:ascii="Arial" w:hAnsi="Arial" w:cs="Arial"/>
                <w:sz w:val="22"/>
                <w:szCs w:val="22"/>
              </w:rPr>
            </w:pPr>
          </w:p>
          <w:p w:rsidR="00D650EC" w:rsidRDefault="00D650EC" w:rsidP="001D0519">
            <w:pPr>
              <w:jc w:val="both"/>
              <w:rPr>
                <w:rFonts w:ascii="Arial" w:hAnsi="Arial" w:cs="Arial"/>
                <w:sz w:val="22"/>
                <w:szCs w:val="22"/>
              </w:rPr>
            </w:pPr>
            <w:r w:rsidRPr="00664BF8">
              <w:rPr>
                <w:rFonts w:ascii="Arial" w:hAnsi="Arial" w:cs="Arial"/>
                <w:sz w:val="22"/>
                <w:szCs w:val="22"/>
              </w:rPr>
              <w:t>The School of Management is seeking to appoint a Senior Teaching Fellow/ Teaching Fellow in Marketing, to join the Marketing Group of the Marketing, Business &amp; Society Division.</w:t>
            </w:r>
          </w:p>
          <w:p w:rsidR="00D650EC" w:rsidRPr="00664BF8" w:rsidRDefault="00D650EC" w:rsidP="001D0519">
            <w:pPr>
              <w:jc w:val="both"/>
              <w:rPr>
                <w:rFonts w:ascii="Arial" w:hAnsi="Arial" w:cs="Arial"/>
                <w:sz w:val="22"/>
                <w:szCs w:val="22"/>
              </w:rPr>
            </w:pPr>
          </w:p>
          <w:p w:rsidR="00D650EC" w:rsidRPr="00664BF8" w:rsidRDefault="00D650EC" w:rsidP="001D0519">
            <w:pPr>
              <w:jc w:val="both"/>
              <w:rPr>
                <w:rFonts w:ascii="Arial" w:hAnsi="Arial" w:cs="Arial"/>
                <w:sz w:val="22"/>
                <w:szCs w:val="22"/>
              </w:rPr>
            </w:pPr>
            <w:r w:rsidRPr="00664BF8">
              <w:rPr>
                <w:rFonts w:ascii="Arial" w:hAnsi="Arial" w:cs="Arial"/>
                <w:sz w:val="22"/>
                <w:szCs w:val="22"/>
              </w:rPr>
              <w:t>The School of Management is a vibrant and productive community and is ranked among the top UK Business Schools. It was ranked 1st for Marketing (the Complete University Guide 2018) and 2nd for Business &amp; Management (the Complete University Guide 2018). It was also ranked 8th in the UK for Business and Management Studies, including 6th in the UK for world class and internationally-leading publications, in the results of the 2014 Research Excellence Framework.</w:t>
            </w:r>
          </w:p>
          <w:p w:rsidR="00D650EC" w:rsidRPr="00664BF8" w:rsidRDefault="00D650EC" w:rsidP="001D0519">
            <w:pPr>
              <w:jc w:val="both"/>
              <w:rPr>
                <w:rFonts w:ascii="Arial" w:hAnsi="Arial" w:cs="Arial"/>
                <w:sz w:val="22"/>
                <w:szCs w:val="22"/>
              </w:rPr>
            </w:pPr>
            <w:r w:rsidRPr="00664BF8">
              <w:rPr>
                <w:rFonts w:ascii="Arial" w:hAnsi="Arial" w:cs="Arial"/>
                <w:sz w:val="22"/>
                <w:szCs w:val="22"/>
              </w:rPr>
              <w:br/>
              <w:t xml:space="preserve">The Marketing group achieves teaching excellence on our highly rated undergraduate and Masters degrees, including the MSc in Marketing and the BSc in Management and Marketing. </w:t>
            </w:r>
          </w:p>
          <w:p w:rsidR="00D650EC" w:rsidRDefault="00D650EC" w:rsidP="001D0519">
            <w:pPr>
              <w:jc w:val="both"/>
              <w:rPr>
                <w:rFonts w:ascii="Arial" w:hAnsi="Arial" w:cs="Arial"/>
                <w:spacing w:val="2"/>
                <w:sz w:val="22"/>
                <w:szCs w:val="22"/>
              </w:rPr>
            </w:pPr>
            <w:r w:rsidRPr="00664BF8">
              <w:rPr>
                <w:rFonts w:ascii="Arial" w:hAnsi="Arial" w:cs="Arial"/>
                <w:sz w:val="22"/>
                <w:szCs w:val="22"/>
              </w:rPr>
              <w:t xml:space="preserve">The successful candidate will have excellent proven teaching ability good industry experience in marketing and preferably be a Fellow of the Higher Education Academy. This person will be expected to </w:t>
            </w:r>
            <w:r w:rsidRPr="00664BF8">
              <w:rPr>
                <w:rFonts w:ascii="Arial" w:hAnsi="Arial" w:cs="Arial"/>
                <w:spacing w:val="2"/>
                <w:sz w:val="22"/>
                <w:szCs w:val="22"/>
              </w:rPr>
              <w:t xml:space="preserve">deliver high quality teaching to undergraduate and postgraduate students which is informed by significant professional expertise gained via practice, research/study and extensive teaching experience. </w:t>
            </w:r>
          </w:p>
          <w:p w:rsidR="00D650EC" w:rsidRPr="00664BF8" w:rsidRDefault="00D650EC" w:rsidP="001D0519">
            <w:pPr>
              <w:jc w:val="both"/>
              <w:rPr>
                <w:rFonts w:ascii="Arial" w:hAnsi="Arial" w:cs="Arial"/>
                <w:sz w:val="22"/>
                <w:szCs w:val="22"/>
              </w:rPr>
            </w:pPr>
          </w:p>
          <w:p w:rsidR="00D650EC" w:rsidRPr="00664BF8" w:rsidRDefault="00D650EC" w:rsidP="001D0519">
            <w:pPr>
              <w:jc w:val="both"/>
              <w:rPr>
                <w:rFonts w:ascii="Arial" w:hAnsi="Arial" w:cs="Arial"/>
                <w:sz w:val="22"/>
                <w:szCs w:val="22"/>
              </w:rPr>
            </w:pPr>
            <w:r w:rsidRPr="00664BF8">
              <w:rPr>
                <w:rFonts w:ascii="Arial" w:hAnsi="Arial" w:cs="Arial"/>
                <w:sz w:val="22"/>
                <w:szCs w:val="22"/>
              </w:rPr>
              <w:t>In addition to an ability to teach marketing principles, we are particularly interested in candidates who are well-placed to teach: Business to Business Marketing.</w:t>
            </w:r>
          </w:p>
          <w:p w:rsidR="00D650EC" w:rsidRPr="00664BF8" w:rsidRDefault="00D650EC" w:rsidP="001D0519">
            <w:pPr>
              <w:jc w:val="both"/>
              <w:rPr>
                <w:rFonts w:ascii="Arial" w:hAnsi="Arial" w:cs="Arial"/>
                <w:sz w:val="22"/>
                <w:szCs w:val="22"/>
              </w:rPr>
            </w:pPr>
            <w:r w:rsidRPr="00664BF8">
              <w:rPr>
                <w:rFonts w:ascii="Arial" w:hAnsi="Arial" w:cs="Arial"/>
                <w:sz w:val="22"/>
                <w:szCs w:val="22"/>
              </w:rPr>
              <w:t xml:space="preserve">The Marketing group currently has a reputation for world-class research in the areas of consumer research, consumer culture &amp; critical marketing, brand management, advertising </w:t>
            </w:r>
            <w:r w:rsidRPr="00664BF8">
              <w:rPr>
                <w:rFonts w:ascii="Arial" w:hAnsi="Arial" w:cs="Arial"/>
                <w:sz w:val="22"/>
                <w:szCs w:val="22"/>
              </w:rPr>
              <w:lastRenderedPageBreak/>
              <w:t>research, with a growing international reputation in the areas of sustainable business/marketing practices, consumer psychology and the marketing–entrepreneurship interface.</w:t>
            </w:r>
          </w:p>
          <w:p w:rsidR="00D650EC" w:rsidRPr="00664BF8" w:rsidRDefault="00D650EC" w:rsidP="001D0519">
            <w:pPr>
              <w:jc w:val="both"/>
              <w:rPr>
                <w:rFonts w:ascii="Arial" w:hAnsi="Arial" w:cs="Arial"/>
                <w:sz w:val="22"/>
                <w:szCs w:val="22"/>
              </w:rPr>
            </w:pPr>
          </w:p>
          <w:p w:rsidR="00D650EC" w:rsidRPr="00664BF8" w:rsidRDefault="00D650EC" w:rsidP="001D0519">
            <w:pPr>
              <w:jc w:val="both"/>
              <w:rPr>
                <w:rFonts w:ascii="Arial" w:hAnsi="Arial" w:cs="Arial"/>
                <w:sz w:val="22"/>
                <w:szCs w:val="22"/>
              </w:rPr>
            </w:pPr>
            <w:r w:rsidRPr="00664BF8">
              <w:rPr>
                <w:rFonts w:ascii="Arial" w:hAnsi="Arial" w:cs="Arial"/>
                <w:sz w:val="22"/>
                <w:szCs w:val="22"/>
                <w:lang w:val="en-US"/>
              </w:rPr>
              <w:t xml:space="preserve">This is a </w:t>
            </w:r>
            <w:r w:rsidRPr="00664BF8">
              <w:rPr>
                <w:rFonts w:ascii="Arial" w:hAnsi="Arial" w:cs="Arial"/>
                <w:sz w:val="22"/>
                <w:szCs w:val="22"/>
              </w:rPr>
              <w:t>part-time position for 18.25 hours per week (0.5 FTE).</w:t>
            </w:r>
          </w:p>
          <w:p w:rsidR="001D0519" w:rsidRDefault="001D0519" w:rsidP="001D0519">
            <w:pPr>
              <w:jc w:val="both"/>
              <w:rPr>
                <w:rFonts w:ascii="Arial" w:hAnsi="Arial" w:cs="Arial"/>
                <w:sz w:val="22"/>
                <w:szCs w:val="22"/>
              </w:rPr>
            </w:pPr>
          </w:p>
          <w:p w:rsidR="00D650EC" w:rsidRPr="00664BF8" w:rsidRDefault="00D650EC" w:rsidP="001D0519">
            <w:pPr>
              <w:jc w:val="both"/>
              <w:rPr>
                <w:rFonts w:ascii="Arial" w:hAnsi="Arial" w:cs="Arial"/>
                <w:sz w:val="22"/>
                <w:szCs w:val="22"/>
              </w:rPr>
            </w:pPr>
            <w:r w:rsidRPr="00664BF8">
              <w:rPr>
                <w:rFonts w:ascii="Arial" w:hAnsi="Arial" w:cs="Arial"/>
                <w:sz w:val="22"/>
                <w:szCs w:val="22"/>
              </w:rPr>
              <w:t xml:space="preserve">Informal enquiries may be made to the Head of the Marketing, Business &amp; Society Division, Professor Pierre McDonagh, email </w:t>
            </w:r>
            <w:hyperlink r:id="rId5" w:history="1">
              <w:r w:rsidRPr="00664BF8">
                <w:rPr>
                  <w:rStyle w:val="Hyperlink"/>
                  <w:rFonts w:ascii="Arial" w:hAnsi="Arial" w:cs="Arial"/>
                  <w:sz w:val="22"/>
                  <w:szCs w:val="22"/>
                </w:rPr>
                <w:t>p.mcdonagh@bath.ac.uk</w:t>
              </w:r>
            </w:hyperlink>
            <w:r w:rsidRPr="00664BF8">
              <w:rPr>
                <w:rFonts w:ascii="Arial" w:hAnsi="Arial" w:cs="Arial"/>
                <w:sz w:val="22"/>
                <w:szCs w:val="22"/>
              </w:rPr>
              <w:t>.</w:t>
            </w:r>
          </w:p>
          <w:p w:rsidR="00D650EC" w:rsidRPr="00664BF8" w:rsidRDefault="00D650EC" w:rsidP="001D0519">
            <w:pPr>
              <w:jc w:val="both"/>
              <w:rPr>
                <w:rFonts w:ascii="Arial" w:hAnsi="Arial" w:cs="Arial"/>
                <w:i/>
                <w:sz w:val="22"/>
                <w:szCs w:val="22"/>
              </w:rPr>
            </w:pPr>
          </w:p>
        </w:tc>
      </w:tr>
    </w:tbl>
    <w:p w:rsidR="00D650EC" w:rsidRDefault="00D650EC" w:rsidP="001D0519">
      <w:pPr>
        <w:rPr>
          <w:rFonts w:ascii="Arial" w:hAnsi="Arial" w:cs="Arial"/>
          <w:sz w:val="22"/>
          <w:szCs w:val="22"/>
        </w:rPr>
      </w:pPr>
    </w:p>
    <w:p w:rsidR="001D0519" w:rsidRDefault="001D051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F52623" w:rsidTr="00F52623">
        <w:tc>
          <w:tcPr>
            <w:tcW w:w="872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Job purpose</w:t>
            </w:r>
          </w:p>
        </w:tc>
      </w:tr>
      <w:tr w:rsidR="00F52623" w:rsidTr="00F52623">
        <w:tc>
          <w:tcPr>
            <w:tcW w:w="8720"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p>
          <w:p w:rsidR="00F52623" w:rsidRDefault="00F52623" w:rsidP="001D0519">
            <w:pPr>
              <w:rPr>
                <w:rFonts w:ascii="Arial" w:hAnsi="Arial" w:cs="Arial"/>
                <w:spacing w:val="2"/>
                <w:sz w:val="22"/>
                <w:szCs w:val="22"/>
              </w:rPr>
            </w:pPr>
            <w:r>
              <w:rPr>
                <w:rFonts w:ascii="Arial" w:hAnsi="Arial" w:cs="Arial"/>
                <w:spacing w:val="2"/>
                <w:sz w:val="22"/>
                <w:szCs w:val="22"/>
              </w:rPr>
              <w:t xml:space="preserve">Design and deliver high quality teaching which is informed by significant experience gained via practice, research/study and teaching experience, to undergraduate and/or postgraduate students - to include lectures, seminars, laboratory classes, supervision of dissertations or projects, assessment and marking and pastoral care of students, in line with Department/School and University policy. </w:t>
            </w:r>
          </w:p>
          <w:p w:rsidR="00F52623" w:rsidRDefault="00F52623" w:rsidP="001D0519">
            <w:pPr>
              <w:rPr>
                <w:rFonts w:ascii="Arial" w:hAnsi="Arial" w:cs="Arial"/>
                <w:sz w:val="22"/>
                <w:szCs w:val="22"/>
              </w:rPr>
            </w:pPr>
          </w:p>
          <w:p w:rsidR="00F52623" w:rsidRDefault="00F52623" w:rsidP="001D0519">
            <w:pPr>
              <w:rPr>
                <w:rFonts w:ascii="Arial" w:hAnsi="Arial" w:cs="Arial"/>
                <w:sz w:val="22"/>
                <w:szCs w:val="22"/>
              </w:rPr>
            </w:pPr>
            <w:r>
              <w:rPr>
                <w:rFonts w:ascii="Arial" w:hAnsi="Arial" w:cs="Arial"/>
                <w:sz w:val="22"/>
                <w:szCs w:val="22"/>
              </w:rPr>
              <w:t>Carry out a significant management and leadership role within the Department or Faculty such as Director of Studies; lead on Admissions for a large course; carry out a Faculty/University wide role in innovation or outreach.</w:t>
            </w:r>
          </w:p>
          <w:p w:rsidR="00F52623" w:rsidRDefault="00F52623" w:rsidP="001D0519">
            <w:pPr>
              <w:rPr>
                <w:rFonts w:ascii="Arial" w:hAnsi="Arial" w:cs="Arial"/>
                <w:sz w:val="22"/>
                <w:szCs w:val="22"/>
              </w:rPr>
            </w:pPr>
          </w:p>
          <w:p w:rsidR="00F52623" w:rsidRDefault="00F52623" w:rsidP="001D0519">
            <w:pPr>
              <w:rPr>
                <w:rFonts w:ascii="Arial" w:hAnsi="Arial" w:cs="Arial"/>
                <w:sz w:val="22"/>
                <w:szCs w:val="22"/>
              </w:rPr>
            </w:pPr>
            <w:r>
              <w:rPr>
                <w:rFonts w:ascii="Arial" w:hAnsi="Arial" w:cs="Arial"/>
                <w:sz w:val="22"/>
                <w:szCs w:val="22"/>
              </w:rPr>
              <w:t>Contribute effectively to University wide developments and innovation in the design and delivery of teaching.</w:t>
            </w:r>
          </w:p>
          <w:p w:rsidR="00F52623" w:rsidRDefault="00F52623" w:rsidP="001D0519">
            <w:pPr>
              <w:rPr>
                <w:rFonts w:ascii="Arial" w:hAnsi="Arial" w:cs="Arial"/>
                <w:sz w:val="22"/>
                <w:szCs w:val="22"/>
              </w:rPr>
            </w:pPr>
          </w:p>
          <w:p w:rsidR="00F52623" w:rsidRDefault="00F52623" w:rsidP="001D0519">
            <w:pPr>
              <w:rPr>
                <w:rFonts w:ascii="Arial" w:hAnsi="Arial" w:cs="Arial"/>
                <w:sz w:val="22"/>
                <w:szCs w:val="22"/>
              </w:rPr>
            </w:pPr>
            <w:r>
              <w:rPr>
                <w:rFonts w:ascii="Arial" w:hAnsi="Arial" w:cs="Arial"/>
                <w:sz w:val="22"/>
                <w:szCs w:val="22"/>
              </w:rPr>
              <w:t>Whilst it is essential that teaching is informed by research/professional expertise there is no research component in this role.</w:t>
            </w:r>
          </w:p>
          <w:p w:rsidR="00F52623" w:rsidRDefault="00F52623" w:rsidP="001D0519">
            <w:pPr>
              <w:rPr>
                <w:rFonts w:ascii="Arial" w:hAnsi="Arial" w:cs="Arial"/>
                <w:i/>
                <w:sz w:val="22"/>
                <w:szCs w:val="22"/>
              </w:rPr>
            </w:pPr>
          </w:p>
        </w:tc>
      </w:tr>
    </w:tbl>
    <w:p w:rsidR="00F52623" w:rsidRDefault="00F52623" w:rsidP="001D05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91"/>
      </w:tblGrid>
      <w:tr w:rsidR="00F52623" w:rsidTr="001D0519">
        <w:trPr>
          <w:tblHeader/>
        </w:trPr>
        <w:tc>
          <w:tcPr>
            <w:tcW w:w="8725" w:type="dxa"/>
            <w:gridSpan w:val="2"/>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 xml:space="preserve">Main duties and responsibilities </w:t>
            </w:r>
          </w:p>
        </w:tc>
      </w:tr>
      <w:tr w:rsidR="00F52623" w:rsidTr="001D0519">
        <w:tc>
          <w:tcPr>
            <w:tcW w:w="8725" w:type="dxa"/>
            <w:gridSpan w:val="2"/>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p>
          <w:p w:rsidR="00F52623" w:rsidRDefault="00F52623" w:rsidP="001D0519">
            <w:pPr>
              <w:rPr>
                <w:rFonts w:ascii="Arial" w:hAnsi="Arial" w:cs="Arial"/>
                <w:sz w:val="22"/>
                <w:szCs w:val="22"/>
              </w:rPr>
            </w:pPr>
            <w:r>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rsidR="00F52623" w:rsidRDefault="00F52623" w:rsidP="001D0519">
            <w:pPr>
              <w:autoSpaceDE w:val="0"/>
              <w:autoSpaceDN w:val="0"/>
              <w:adjustRightInd w:val="0"/>
              <w:rPr>
                <w:rFonts w:ascii="Arial" w:hAnsi="Arial" w:cs="Arial"/>
                <w:b/>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rsidP="001D0519">
            <w:pPr>
              <w:rPr>
                <w:rFonts w:ascii="Arial" w:hAnsi="Arial" w:cs="Arial"/>
                <w:b/>
                <w:sz w:val="22"/>
                <w:szCs w:val="22"/>
              </w:rPr>
            </w:pPr>
            <w:r>
              <w:rPr>
                <w:rFonts w:ascii="Arial" w:hAnsi="Arial" w:cs="Arial"/>
                <w:b/>
                <w:sz w:val="22"/>
                <w:szCs w:val="22"/>
              </w:rPr>
              <w:t>1</w:t>
            </w:r>
          </w:p>
        </w:tc>
        <w:tc>
          <w:tcPr>
            <w:tcW w:w="8191" w:type="dxa"/>
            <w:tcBorders>
              <w:top w:val="single" w:sz="4" w:space="0" w:color="auto"/>
              <w:left w:val="single" w:sz="4" w:space="0" w:color="auto"/>
              <w:bottom w:val="single" w:sz="4" w:space="0" w:color="auto"/>
              <w:right w:val="single" w:sz="4" w:space="0" w:color="auto"/>
            </w:tcBorders>
            <w:shd w:val="clear" w:color="auto" w:fill="FFF9CF"/>
          </w:tcPr>
          <w:p w:rsidR="00F52623" w:rsidRDefault="00F52623" w:rsidP="001D0519">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Teaching </w:t>
            </w: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a</w:t>
            </w:r>
          </w:p>
        </w:tc>
        <w:tc>
          <w:tcPr>
            <w:tcW w:w="8191"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pacing w:val="2"/>
                <w:sz w:val="22"/>
                <w:szCs w:val="22"/>
              </w:rPr>
            </w:pPr>
            <w:r>
              <w:rPr>
                <w:rFonts w:ascii="Arial" w:hAnsi="Arial" w:cs="Arial"/>
                <w:spacing w:val="2"/>
                <w:sz w:val="22"/>
                <w:szCs w:val="22"/>
              </w:rPr>
              <w:t xml:space="preserve">Deliver high quality teaching to undergraduate and postgraduate students which is informed by significant professional expertise gained via practice, research/study and extensive teaching experience. </w:t>
            </w:r>
          </w:p>
          <w:p w:rsidR="00F52623" w:rsidRDefault="00F52623" w:rsidP="001D0519">
            <w:pPr>
              <w:rPr>
                <w:rFonts w:ascii="Arial" w:hAnsi="Arial" w:cs="Arial"/>
                <w:spacing w:val="2"/>
                <w:sz w:val="22"/>
                <w:szCs w:val="22"/>
              </w:rPr>
            </w:pPr>
          </w:p>
          <w:p w:rsidR="00F52623" w:rsidRDefault="00F52623" w:rsidP="001D0519">
            <w:pPr>
              <w:rPr>
                <w:rFonts w:ascii="Arial" w:hAnsi="Arial" w:cs="Arial"/>
                <w:spacing w:val="2"/>
                <w:sz w:val="22"/>
                <w:szCs w:val="22"/>
              </w:rPr>
            </w:pPr>
            <w:r>
              <w:rPr>
                <w:rFonts w:ascii="Arial" w:hAnsi="Arial" w:cs="Arial"/>
                <w:spacing w:val="2"/>
                <w:sz w:val="22"/>
                <w:szCs w:val="22"/>
              </w:rPr>
              <w:t xml:space="preserve">Includes designing units of study and their assessment regimes, identifying learning objectives and teaching methods, developing materials and resources, including materials for use online, communicating subject matter clearly and encouraging debate. </w:t>
            </w:r>
          </w:p>
          <w:p w:rsidR="00F52623" w:rsidRDefault="00F52623" w:rsidP="001D0519">
            <w:pPr>
              <w:rPr>
                <w:rFonts w:ascii="Arial" w:hAnsi="Arial" w:cs="Arial"/>
                <w:spacing w:val="2"/>
                <w:sz w:val="22"/>
                <w:szCs w:val="22"/>
              </w:rPr>
            </w:pPr>
          </w:p>
          <w:p w:rsidR="00F52623" w:rsidRDefault="00F52623" w:rsidP="001D0519">
            <w:pPr>
              <w:rPr>
                <w:rFonts w:ascii="Arial" w:hAnsi="Arial" w:cs="Arial"/>
                <w:spacing w:val="2"/>
                <w:sz w:val="22"/>
                <w:szCs w:val="22"/>
              </w:rPr>
            </w:pPr>
            <w:r>
              <w:rPr>
                <w:rFonts w:ascii="Arial" w:hAnsi="Arial" w:cs="Arial"/>
                <w:spacing w:val="2"/>
                <w:sz w:val="22"/>
                <w:szCs w:val="22"/>
              </w:rPr>
              <w:t>Provide appropriate responses to student interventions during teaching, responding to questions within and outside class times and react pro-actively and positively to changes in course content or delivery.</w:t>
            </w:r>
          </w:p>
          <w:p w:rsidR="00F52623" w:rsidRDefault="00F52623" w:rsidP="001D0519">
            <w:pPr>
              <w:autoSpaceDE w:val="0"/>
              <w:autoSpaceDN w:val="0"/>
              <w:adjustRightInd w:val="0"/>
              <w:rPr>
                <w:rFonts w:ascii="Arial" w:hAnsi="Arial" w:cs="Arial"/>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b</w:t>
            </w:r>
          </w:p>
        </w:tc>
        <w:tc>
          <w:tcPr>
            <w:tcW w:w="8191" w:type="dxa"/>
            <w:tcBorders>
              <w:top w:val="single" w:sz="4" w:space="0" w:color="auto"/>
              <w:left w:val="single" w:sz="4" w:space="0" w:color="auto"/>
              <w:bottom w:val="single" w:sz="4" w:space="0" w:color="auto"/>
              <w:right w:val="single" w:sz="4" w:space="0" w:color="auto"/>
            </w:tcBorders>
            <w:hideMark/>
          </w:tcPr>
          <w:p w:rsidR="00F52623" w:rsidRDefault="00F52623" w:rsidP="001D0519">
            <w:pPr>
              <w:autoSpaceDE w:val="0"/>
              <w:autoSpaceDN w:val="0"/>
              <w:adjustRightInd w:val="0"/>
              <w:rPr>
                <w:rFonts w:ascii="Arial" w:hAnsi="Arial" w:cs="Arial"/>
                <w:spacing w:val="2"/>
                <w:sz w:val="22"/>
                <w:szCs w:val="22"/>
              </w:rPr>
            </w:pPr>
            <w:r>
              <w:rPr>
                <w:rFonts w:ascii="Arial" w:hAnsi="Arial" w:cs="Arial"/>
                <w:spacing w:val="2"/>
                <w:sz w:val="22"/>
                <w:szCs w:val="22"/>
              </w:rPr>
              <w:t>Design, implement and evaluate teaching and learning packages, participate in the development and modernisation of the curriculum, taking a lead in parts of this activity.</w:t>
            </w:r>
          </w:p>
          <w:p w:rsidR="001D0519" w:rsidRDefault="001D0519" w:rsidP="001D0519">
            <w:pPr>
              <w:autoSpaceDE w:val="0"/>
              <w:autoSpaceDN w:val="0"/>
              <w:adjustRightInd w:val="0"/>
              <w:rPr>
                <w:rFonts w:ascii="Arial" w:hAnsi="Arial" w:cs="Arial"/>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c</w:t>
            </w:r>
          </w:p>
        </w:tc>
        <w:tc>
          <w:tcPr>
            <w:tcW w:w="8191"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Design, implement and evaluate assessment tools and criteria for courses, mark assessments, ensuring adequate moderation, providing written or oral feedback as appropriate. Mark final assessments as required.</w:t>
            </w:r>
          </w:p>
          <w:p w:rsidR="00F52623" w:rsidRDefault="00F52623" w:rsidP="001D0519">
            <w:pPr>
              <w:autoSpaceDE w:val="0"/>
              <w:autoSpaceDN w:val="0"/>
              <w:adjustRightInd w:val="0"/>
              <w:rPr>
                <w:rFonts w:ascii="Arial" w:hAnsi="Arial" w:cs="Arial"/>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d</w:t>
            </w:r>
          </w:p>
        </w:tc>
        <w:tc>
          <w:tcPr>
            <w:tcW w:w="8191" w:type="dxa"/>
            <w:tcBorders>
              <w:top w:val="single" w:sz="4" w:space="0" w:color="auto"/>
              <w:left w:val="single" w:sz="4" w:space="0" w:color="auto"/>
              <w:bottom w:val="single" w:sz="4" w:space="0" w:color="auto"/>
              <w:right w:val="single" w:sz="4" w:space="0" w:color="auto"/>
            </w:tcBorders>
            <w:hideMark/>
          </w:tcPr>
          <w:p w:rsidR="00F52623" w:rsidRDefault="00F52623" w:rsidP="001D0519">
            <w:pPr>
              <w:autoSpaceDE w:val="0"/>
              <w:autoSpaceDN w:val="0"/>
              <w:adjustRightInd w:val="0"/>
              <w:rPr>
                <w:rFonts w:ascii="Arial" w:hAnsi="Arial" w:cs="Arial"/>
                <w:sz w:val="22"/>
                <w:szCs w:val="22"/>
              </w:rPr>
            </w:pPr>
            <w:r>
              <w:rPr>
                <w:rFonts w:ascii="Arial" w:hAnsi="Arial" w:cs="Arial"/>
                <w:sz w:val="22"/>
                <w:szCs w:val="22"/>
              </w:rPr>
              <w:t>Supervise undergraduate and postgraduate level student projects and field trips as required</w:t>
            </w:r>
          </w:p>
          <w:p w:rsidR="001D0519" w:rsidRDefault="001D0519" w:rsidP="001D0519">
            <w:pPr>
              <w:autoSpaceDE w:val="0"/>
              <w:autoSpaceDN w:val="0"/>
              <w:adjustRightInd w:val="0"/>
              <w:rPr>
                <w:rFonts w:ascii="Arial" w:hAnsi="Arial" w:cs="Arial"/>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e</w:t>
            </w:r>
          </w:p>
        </w:tc>
        <w:tc>
          <w:tcPr>
            <w:tcW w:w="8191"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Engage pro-actively in on-going professional development both in own subject and in teaching and learning.</w:t>
            </w:r>
          </w:p>
          <w:p w:rsidR="001D0519" w:rsidRDefault="001D0519" w:rsidP="001D0519">
            <w:pPr>
              <w:rPr>
                <w:rFonts w:ascii="Arial" w:hAnsi="Arial" w:cs="Arial"/>
                <w:sz w:val="22"/>
                <w:szCs w:val="22"/>
              </w:rPr>
            </w:pPr>
          </w:p>
          <w:p w:rsidR="00F52623" w:rsidRDefault="00F52623" w:rsidP="001D0519">
            <w:pPr>
              <w:rPr>
                <w:rFonts w:ascii="Arial" w:hAnsi="Arial" w:cs="Arial"/>
                <w:sz w:val="22"/>
                <w:szCs w:val="22"/>
              </w:rPr>
            </w:pPr>
            <w:r>
              <w:rPr>
                <w:rFonts w:ascii="Arial" w:hAnsi="Arial" w:cs="Arial"/>
                <w:sz w:val="22"/>
                <w:szCs w:val="22"/>
              </w:rPr>
              <w:t>Act as mentor for more junior teaching fellows or casual teaching staff.</w:t>
            </w:r>
          </w:p>
          <w:p w:rsidR="00F52623" w:rsidRDefault="00F52623" w:rsidP="001D0519">
            <w:pPr>
              <w:rPr>
                <w:rFonts w:ascii="Arial" w:hAnsi="Arial" w:cs="Arial"/>
                <w:sz w:val="22"/>
                <w:szCs w:val="22"/>
              </w:rPr>
            </w:pPr>
            <w:r>
              <w:rPr>
                <w:rFonts w:ascii="Arial" w:hAnsi="Arial" w:cs="Arial"/>
                <w:sz w:val="22"/>
                <w:szCs w:val="22"/>
              </w:rPr>
              <w:t>May include involvement in professional or teaching and learning networks within and outside the University.</w:t>
            </w:r>
          </w:p>
          <w:p w:rsidR="00F52623" w:rsidRDefault="00F52623" w:rsidP="001D0519">
            <w:pPr>
              <w:autoSpaceDE w:val="0"/>
              <w:autoSpaceDN w:val="0"/>
              <w:adjustRightInd w:val="0"/>
              <w:rPr>
                <w:rFonts w:ascii="Arial" w:hAnsi="Arial" w:cs="Arial"/>
                <w:sz w:val="22"/>
                <w:szCs w:val="22"/>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f</w:t>
            </w:r>
          </w:p>
        </w:tc>
        <w:tc>
          <w:tcPr>
            <w:tcW w:w="8191"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Take a lead role in programme evaluation, including facilitating student feedback, reflecting on own teaching design and delivery and implementing ideas for improving own performance.</w:t>
            </w:r>
          </w:p>
          <w:p w:rsidR="00F52623" w:rsidRDefault="00F52623" w:rsidP="001D0519">
            <w:pPr>
              <w:autoSpaceDE w:val="0"/>
              <w:autoSpaceDN w:val="0"/>
              <w:adjustRightInd w:val="0"/>
              <w:rPr>
                <w:rFonts w:ascii="Arial" w:hAnsi="Arial" w:cs="Arial"/>
                <w:b/>
                <w:color w:val="000000"/>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rsidP="001D0519">
            <w:pPr>
              <w:rPr>
                <w:rFonts w:ascii="Arial" w:hAnsi="Arial" w:cs="Arial"/>
                <w:b/>
                <w:sz w:val="22"/>
                <w:szCs w:val="22"/>
              </w:rPr>
            </w:pPr>
            <w:r>
              <w:rPr>
                <w:rFonts w:ascii="Arial" w:hAnsi="Arial" w:cs="Arial"/>
                <w:b/>
                <w:sz w:val="22"/>
                <w:szCs w:val="22"/>
              </w:rPr>
              <w:t>2</w:t>
            </w:r>
          </w:p>
        </w:tc>
        <w:tc>
          <w:tcPr>
            <w:tcW w:w="8191" w:type="dxa"/>
            <w:tcBorders>
              <w:top w:val="single" w:sz="4" w:space="0" w:color="auto"/>
              <w:left w:val="single" w:sz="4" w:space="0" w:color="auto"/>
              <w:bottom w:val="single" w:sz="4" w:space="0" w:color="auto"/>
              <w:right w:val="single" w:sz="4" w:space="0" w:color="auto"/>
            </w:tcBorders>
            <w:shd w:val="clear" w:color="auto" w:fill="FFF9CF"/>
            <w:hideMark/>
          </w:tcPr>
          <w:p w:rsidR="00F52623" w:rsidRDefault="00F52623" w:rsidP="001D0519">
            <w:pPr>
              <w:autoSpaceDE w:val="0"/>
              <w:autoSpaceDN w:val="0"/>
              <w:adjustRightInd w:val="0"/>
              <w:rPr>
                <w:rFonts w:ascii="Arial" w:hAnsi="Arial" w:cs="Arial"/>
                <w:b/>
                <w:sz w:val="22"/>
                <w:szCs w:val="22"/>
                <w:lang w:eastAsia="en-GB"/>
              </w:rPr>
            </w:pPr>
            <w:r>
              <w:rPr>
                <w:rFonts w:ascii="Arial" w:hAnsi="Arial" w:cs="Arial"/>
                <w:b/>
                <w:sz w:val="22"/>
                <w:szCs w:val="22"/>
                <w:lang w:eastAsia="en-GB"/>
              </w:rPr>
              <w:t>Management and Administration</w:t>
            </w: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a</w:t>
            </w:r>
          </w:p>
        </w:tc>
        <w:tc>
          <w:tcPr>
            <w:tcW w:w="8191"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Carry out a significant management and leadership role within the Department or Faculty/School such as Director of Studies or undertake another significant activity to contribute to the overall strategic management/direction of the department.</w:t>
            </w:r>
          </w:p>
          <w:p w:rsidR="00F52623" w:rsidRDefault="00F52623" w:rsidP="001D0519">
            <w:pPr>
              <w:rPr>
                <w:rFonts w:ascii="Arial" w:hAnsi="Arial" w:cs="Arial"/>
                <w:sz w:val="22"/>
                <w:szCs w:val="22"/>
              </w:rPr>
            </w:pPr>
          </w:p>
          <w:p w:rsidR="00F52623" w:rsidRDefault="00F52623" w:rsidP="001D0519">
            <w:pPr>
              <w:rPr>
                <w:rFonts w:ascii="Arial" w:hAnsi="Arial" w:cs="Arial"/>
                <w:sz w:val="22"/>
                <w:szCs w:val="22"/>
              </w:rPr>
            </w:pPr>
            <w:r>
              <w:rPr>
                <w:rFonts w:ascii="Arial" w:hAnsi="Arial" w:cs="Arial"/>
                <w:sz w:val="22"/>
                <w:szCs w:val="22"/>
              </w:rPr>
              <w:t>Take lead on innovations which have impact at the level of the Department or Faculty.</w:t>
            </w:r>
          </w:p>
          <w:p w:rsidR="00F52623" w:rsidRDefault="00F52623" w:rsidP="001D0519">
            <w:pPr>
              <w:rPr>
                <w:rFonts w:ascii="Arial" w:hAnsi="Arial" w:cs="Arial"/>
                <w:sz w:val="22"/>
                <w:szCs w:val="22"/>
              </w:rPr>
            </w:pPr>
          </w:p>
          <w:p w:rsidR="00F52623" w:rsidRDefault="00F52623" w:rsidP="001D0519">
            <w:pPr>
              <w:rPr>
                <w:rFonts w:ascii="Arial" w:hAnsi="Arial" w:cs="Arial"/>
                <w:sz w:val="22"/>
                <w:szCs w:val="22"/>
              </w:rPr>
            </w:pPr>
            <w:r>
              <w:rPr>
                <w:rFonts w:ascii="Arial" w:hAnsi="Arial" w:cs="Arial"/>
                <w:sz w:val="22"/>
                <w:szCs w:val="22"/>
              </w:rPr>
              <w:t>May be asked to represent the teaching interests of the Department at Faculty or University level meetings.</w:t>
            </w:r>
          </w:p>
          <w:p w:rsidR="00F52623" w:rsidRDefault="00F52623" w:rsidP="001D0519">
            <w:pPr>
              <w:rPr>
                <w:rFonts w:ascii="Arial" w:hAnsi="Arial" w:cs="Arial"/>
                <w:sz w:val="22"/>
                <w:szCs w:val="22"/>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b</w:t>
            </w:r>
          </w:p>
        </w:tc>
        <w:tc>
          <w:tcPr>
            <w:tcW w:w="8191"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Take the role of Senior Tutor or other major pastoral role for students.  Maintain a knowledge and awareness of student support services and be able to identify student behaviour which is of concern or where support is needed and refer students on appropriately for assistance as necessary.</w:t>
            </w:r>
          </w:p>
          <w:p w:rsidR="00F52623" w:rsidRDefault="00F52623" w:rsidP="001D0519">
            <w:pPr>
              <w:autoSpaceDE w:val="0"/>
              <w:autoSpaceDN w:val="0"/>
              <w:adjustRightInd w:val="0"/>
              <w:rPr>
                <w:rFonts w:ascii="Arial" w:hAnsi="Arial" w:cs="Arial"/>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c</w:t>
            </w:r>
          </w:p>
        </w:tc>
        <w:tc>
          <w:tcPr>
            <w:tcW w:w="8191"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sz w:val="22"/>
                <w:szCs w:val="22"/>
              </w:rPr>
            </w:pPr>
            <w:r>
              <w:rPr>
                <w:rFonts w:ascii="Arial" w:hAnsi="Arial" w:cs="Arial"/>
                <w:sz w:val="22"/>
                <w:szCs w:val="22"/>
              </w:rPr>
              <w:t>Carry out teaching-related management duties or other duties within the grade as allocated by the Head of Department, Director of Teaching or other designated line manager.</w:t>
            </w:r>
          </w:p>
          <w:p w:rsidR="00F52623" w:rsidRDefault="00F52623" w:rsidP="001D0519">
            <w:pPr>
              <w:autoSpaceDE w:val="0"/>
              <w:autoSpaceDN w:val="0"/>
              <w:adjustRightInd w:val="0"/>
              <w:rPr>
                <w:rFonts w:ascii="Arial" w:hAnsi="Arial" w:cs="Arial"/>
                <w:sz w:val="22"/>
                <w:szCs w:val="22"/>
                <w:lang w:eastAsia="en-GB"/>
              </w:rPr>
            </w:pPr>
          </w:p>
        </w:tc>
      </w:tr>
      <w:tr w:rsidR="00F52623" w:rsidTr="001D0519">
        <w:tc>
          <w:tcPr>
            <w:tcW w:w="534" w:type="dxa"/>
            <w:tcBorders>
              <w:top w:val="single" w:sz="4" w:space="0" w:color="auto"/>
              <w:left w:val="single" w:sz="4" w:space="0" w:color="auto"/>
              <w:bottom w:val="single" w:sz="4" w:space="0" w:color="auto"/>
              <w:right w:val="single" w:sz="4" w:space="0" w:color="auto"/>
            </w:tcBorders>
            <w:hideMark/>
          </w:tcPr>
          <w:p w:rsidR="00F52623" w:rsidRDefault="00F52623" w:rsidP="001D0519">
            <w:pPr>
              <w:rPr>
                <w:rFonts w:ascii="Arial" w:hAnsi="Arial" w:cs="Arial"/>
                <w:sz w:val="22"/>
                <w:szCs w:val="22"/>
              </w:rPr>
            </w:pPr>
            <w:r>
              <w:rPr>
                <w:rFonts w:ascii="Arial" w:hAnsi="Arial" w:cs="Arial"/>
                <w:sz w:val="22"/>
                <w:szCs w:val="22"/>
              </w:rPr>
              <w:t>d</w:t>
            </w:r>
          </w:p>
        </w:tc>
        <w:tc>
          <w:tcPr>
            <w:tcW w:w="8191" w:type="dxa"/>
            <w:tcBorders>
              <w:top w:val="single" w:sz="4" w:space="0" w:color="auto"/>
              <w:left w:val="single" w:sz="4" w:space="0" w:color="auto"/>
              <w:bottom w:val="single" w:sz="4" w:space="0" w:color="auto"/>
              <w:right w:val="single" w:sz="4" w:space="0" w:color="auto"/>
            </w:tcBorders>
          </w:tcPr>
          <w:p w:rsidR="00F52623" w:rsidRPr="001D0519" w:rsidRDefault="00F52623" w:rsidP="001D0519">
            <w:pPr>
              <w:autoSpaceDE w:val="0"/>
              <w:autoSpaceDN w:val="0"/>
              <w:adjustRightInd w:val="0"/>
              <w:rPr>
                <w:rFonts w:ascii="Arial" w:hAnsi="Arial" w:cs="Arial"/>
                <w:iCs/>
                <w:sz w:val="22"/>
                <w:szCs w:val="22"/>
              </w:rPr>
            </w:pPr>
            <w:r w:rsidRPr="001D0519">
              <w:rPr>
                <w:rFonts w:ascii="Arial" w:hAnsi="Arial" w:cs="Arial"/>
                <w:iCs/>
                <w:sz w:val="22"/>
                <w:szCs w:val="22"/>
              </w:rPr>
              <w:t>Contribute to outreach and/or Widening Participation activity within the Department, Faculty/School or University.</w:t>
            </w:r>
          </w:p>
          <w:p w:rsidR="00F52623" w:rsidRPr="001D0519" w:rsidRDefault="00F52623" w:rsidP="001D0519">
            <w:pPr>
              <w:autoSpaceDE w:val="0"/>
              <w:autoSpaceDN w:val="0"/>
              <w:adjustRightInd w:val="0"/>
              <w:rPr>
                <w:rFonts w:ascii="Arial" w:hAnsi="Arial" w:cs="Arial"/>
                <w:iCs/>
                <w:sz w:val="22"/>
                <w:szCs w:val="22"/>
              </w:rPr>
            </w:pPr>
          </w:p>
        </w:tc>
      </w:tr>
    </w:tbl>
    <w:p w:rsidR="00F52623" w:rsidRDefault="00F52623" w:rsidP="001D05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F52623" w:rsidTr="00F52623">
        <w:tc>
          <w:tcPr>
            <w:tcW w:w="8720" w:type="dxa"/>
            <w:tcBorders>
              <w:top w:val="single" w:sz="4" w:space="0" w:color="auto"/>
              <w:left w:val="single" w:sz="4" w:space="0" w:color="auto"/>
              <w:bottom w:val="single" w:sz="4" w:space="0" w:color="auto"/>
              <w:right w:val="single" w:sz="4" w:space="0" w:color="auto"/>
            </w:tcBorders>
            <w:shd w:val="clear" w:color="auto" w:fill="DAEEF3"/>
          </w:tcPr>
          <w:p w:rsidR="00F52623" w:rsidRDefault="00F52623" w:rsidP="001D0519">
            <w:pPr>
              <w:rPr>
                <w:rFonts w:ascii="Arial" w:hAnsi="Arial" w:cs="Arial"/>
                <w:b/>
                <w:sz w:val="22"/>
                <w:szCs w:val="22"/>
              </w:rPr>
            </w:pPr>
            <w:r>
              <w:rPr>
                <w:rFonts w:ascii="Arial" w:hAnsi="Arial" w:cs="Arial"/>
                <w:b/>
                <w:sz w:val="22"/>
                <w:szCs w:val="22"/>
              </w:rPr>
              <w:t xml:space="preserve">Special conditions </w:t>
            </w:r>
          </w:p>
        </w:tc>
      </w:tr>
      <w:tr w:rsidR="00F52623" w:rsidTr="00F52623">
        <w:tc>
          <w:tcPr>
            <w:tcW w:w="8720" w:type="dxa"/>
            <w:tcBorders>
              <w:top w:val="single" w:sz="4" w:space="0" w:color="auto"/>
              <w:left w:val="single" w:sz="4" w:space="0" w:color="auto"/>
              <w:bottom w:val="single" w:sz="4" w:space="0" w:color="auto"/>
              <w:right w:val="single" w:sz="4" w:space="0" w:color="auto"/>
            </w:tcBorders>
          </w:tcPr>
          <w:p w:rsidR="00F52623" w:rsidRDefault="00F52623" w:rsidP="001D0519">
            <w:pPr>
              <w:rPr>
                <w:rFonts w:ascii="Arial" w:hAnsi="Arial" w:cs="Arial"/>
                <w:i/>
                <w:sz w:val="22"/>
                <w:szCs w:val="22"/>
              </w:rPr>
            </w:pPr>
          </w:p>
          <w:p w:rsidR="00F52623" w:rsidRDefault="00F52623" w:rsidP="001D0519">
            <w:pPr>
              <w:rPr>
                <w:rFonts w:ascii="Arial" w:hAnsi="Arial" w:cs="Arial"/>
                <w:sz w:val="22"/>
                <w:szCs w:val="22"/>
              </w:rPr>
            </w:pPr>
            <w:r>
              <w:rPr>
                <w:rFonts w:ascii="Arial" w:hAnsi="Arial" w:cs="Arial"/>
                <w:sz w:val="22"/>
                <w:szCs w:val="22"/>
              </w:rPr>
              <w:t xml:space="preserve">All appointments to Teaching Fellow posts are subject to one year’s probation and successful completion of the Bath Course in Enhancing Academic Practice (Bath Course).  Individuals may be granted exemption from the Bath Course and/or probation at the University’s discretion. </w:t>
            </w:r>
          </w:p>
          <w:p w:rsidR="00F52623" w:rsidRDefault="00F52623" w:rsidP="001D0519">
            <w:pPr>
              <w:rPr>
                <w:rFonts w:ascii="Arial" w:hAnsi="Arial" w:cs="Arial"/>
                <w:color w:val="FF0000"/>
                <w:sz w:val="22"/>
                <w:szCs w:val="22"/>
              </w:rPr>
            </w:pPr>
          </w:p>
          <w:p w:rsidR="00F52623" w:rsidRDefault="00F52623" w:rsidP="001D0519">
            <w:pPr>
              <w:rPr>
                <w:rFonts w:ascii="Arial" w:hAnsi="Arial" w:cs="Arial"/>
                <w:b/>
                <w:sz w:val="22"/>
                <w:szCs w:val="22"/>
              </w:rPr>
            </w:pPr>
          </w:p>
        </w:tc>
      </w:tr>
    </w:tbl>
    <w:p w:rsidR="00F52623" w:rsidRDefault="00F52623" w:rsidP="001D0519">
      <w:pPr>
        <w:rPr>
          <w:rFonts w:ascii="Arial" w:hAnsi="Arial" w:cs="Arial"/>
          <w:sz w:val="22"/>
          <w:szCs w:val="22"/>
        </w:rPr>
        <w:sectPr w:rsidR="00F52623" w:rsidSect="001D0519">
          <w:pgSz w:w="11906" w:h="16838"/>
          <w:pgMar w:top="1080" w:right="1440" w:bottom="1008" w:left="1440" w:header="706" w:footer="706" w:gutter="0"/>
          <w:cols w:space="720"/>
        </w:sectPr>
      </w:pPr>
    </w:p>
    <w:p w:rsidR="00F52623" w:rsidRDefault="00F52623" w:rsidP="001D0519">
      <w:pPr>
        <w:jc w:val="center"/>
        <w:rPr>
          <w:rFonts w:ascii="Arial" w:hAnsi="Arial" w:cs="Arial"/>
          <w:b/>
          <w:bCs/>
          <w:sz w:val="24"/>
          <w:szCs w:val="24"/>
        </w:rPr>
      </w:pPr>
      <w:r>
        <w:rPr>
          <w:rFonts w:ascii="Arial" w:hAnsi="Arial" w:cs="Arial"/>
          <w:b/>
          <w:bCs/>
          <w:sz w:val="24"/>
          <w:szCs w:val="24"/>
        </w:rPr>
        <w:lastRenderedPageBreak/>
        <w:t>Person Specification</w:t>
      </w:r>
    </w:p>
    <w:p w:rsidR="001D0519" w:rsidRDefault="001D0519" w:rsidP="001D0519">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5"/>
        <w:gridCol w:w="1530"/>
        <w:gridCol w:w="1530"/>
      </w:tblGrid>
      <w:tr w:rsidR="001D0519" w:rsidTr="001D0519">
        <w:tc>
          <w:tcPr>
            <w:tcW w:w="5845" w:type="dxa"/>
            <w:tcBorders>
              <w:top w:val="single" w:sz="4" w:space="0" w:color="auto"/>
              <w:left w:val="single" w:sz="4" w:space="0" w:color="auto"/>
              <w:bottom w:val="single" w:sz="4" w:space="0" w:color="auto"/>
              <w:right w:val="single" w:sz="4" w:space="0" w:color="auto"/>
            </w:tcBorders>
            <w:shd w:val="clear" w:color="auto" w:fill="C6D9F1"/>
            <w:hideMark/>
          </w:tcPr>
          <w:p w:rsidR="001D0519" w:rsidRDefault="001D0519" w:rsidP="001D0519">
            <w:pPr>
              <w:rPr>
                <w:rFonts w:ascii="Arial" w:hAnsi="Arial" w:cs="Arial"/>
                <w:b/>
                <w:sz w:val="22"/>
                <w:szCs w:val="22"/>
              </w:rPr>
            </w:pPr>
            <w:bookmarkStart w:id="0" w:name="_GoBack"/>
            <w:bookmarkEnd w:id="0"/>
            <w:r>
              <w:rPr>
                <w:rFonts w:ascii="Arial" w:hAnsi="Arial" w:cs="Arial"/>
                <w:b/>
                <w:sz w:val="22"/>
                <w:szCs w:val="22"/>
              </w:rPr>
              <w:t>Criteria</w:t>
            </w:r>
          </w:p>
        </w:tc>
        <w:tc>
          <w:tcPr>
            <w:tcW w:w="1530" w:type="dxa"/>
            <w:tcBorders>
              <w:top w:val="single" w:sz="4" w:space="0" w:color="auto"/>
              <w:left w:val="single" w:sz="4" w:space="0" w:color="auto"/>
              <w:bottom w:val="single" w:sz="4" w:space="0" w:color="auto"/>
              <w:right w:val="single" w:sz="4" w:space="0" w:color="auto"/>
            </w:tcBorders>
            <w:shd w:val="clear" w:color="auto" w:fill="C6D9F1"/>
            <w:hideMark/>
          </w:tcPr>
          <w:p w:rsidR="001D0519" w:rsidRDefault="001D0519" w:rsidP="001D0519">
            <w:pPr>
              <w:rPr>
                <w:rFonts w:ascii="Arial" w:hAnsi="Arial" w:cs="Arial"/>
                <w:b/>
                <w:sz w:val="22"/>
                <w:szCs w:val="22"/>
              </w:rPr>
            </w:pPr>
            <w:r>
              <w:rPr>
                <w:rFonts w:ascii="Arial" w:hAnsi="Arial" w:cs="Arial"/>
                <w:b/>
                <w:sz w:val="22"/>
                <w:szCs w:val="22"/>
              </w:rPr>
              <w:t>Essential</w:t>
            </w:r>
          </w:p>
        </w:tc>
        <w:tc>
          <w:tcPr>
            <w:tcW w:w="1530" w:type="dxa"/>
            <w:tcBorders>
              <w:top w:val="single" w:sz="4" w:space="0" w:color="auto"/>
              <w:left w:val="single" w:sz="4" w:space="0" w:color="auto"/>
              <w:bottom w:val="single" w:sz="4" w:space="0" w:color="auto"/>
              <w:right w:val="single" w:sz="4" w:space="0" w:color="auto"/>
            </w:tcBorders>
            <w:shd w:val="clear" w:color="auto" w:fill="C6D9F1"/>
            <w:hideMark/>
          </w:tcPr>
          <w:p w:rsidR="001D0519" w:rsidRDefault="001D0519" w:rsidP="001D0519">
            <w:pPr>
              <w:rPr>
                <w:rFonts w:ascii="Arial" w:hAnsi="Arial" w:cs="Arial"/>
                <w:b/>
                <w:sz w:val="22"/>
                <w:szCs w:val="22"/>
              </w:rPr>
            </w:pPr>
            <w:r>
              <w:rPr>
                <w:rFonts w:ascii="Arial" w:hAnsi="Arial" w:cs="Arial"/>
                <w:b/>
                <w:sz w:val="22"/>
                <w:szCs w:val="22"/>
              </w:rPr>
              <w:t>Desirable</w:t>
            </w:r>
          </w:p>
        </w:tc>
      </w:tr>
      <w:tr w:rsidR="001D0519" w:rsidTr="001D0519">
        <w:tc>
          <w:tcPr>
            <w:tcW w:w="5845" w:type="dxa"/>
            <w:tcBorders>
              <w:top w:val="single" w:sz="4" w:space="0" w:color="auto"/>
              <w:left w:val="single" w:sz="4" w:space="0" w:color="auto"/>
              <w:bottom w:val="single" w:sz="4" w:space="0" w:color="auto"/>
              <w:right w:val="single" w:sz="4" w:space="0" w:color="auto"/>
            </w:tcBorders>
            <w:shd w:val="clear" w:color="auto" w:fill="FFF9CF"/>
            <w:hideMark/>
          </w:tcPr>
          <w:p w:rsidR="001D0519" w:rsidRDefault="001D0519" w:rsidP="001D0519">
            <w:pPr>
              <w:rPr>
                <w:rFonts w:ascii="Arial" w:hAnsi="Arial" w:cs="Arial"/>
                <w:b/>
                <w:sz w:val="22"/>
                <w:szCs w:val="22"/>
              </w:rPr>
            </w:pPr>
            <w:r>
              <w:rPr>
                <w:rFonts w:ascii="Arial" w:hAnsi="Arial" w:cs="Arial"/>
                <w:b/>
                <w:sz w:val="22"/>
                <w:szCs w:val="22"/>
              </w:rPr>
              <w:t>Qualifications</w:t>
            </w: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b/>
                <w:sz w:val="22"/>
                <w:szCs w:val="22"/>
              </w:rPr>
            </w:pPr>
          </w:p>
        </w:tc>
      </w:tr>
      <w:tr w:rsidR="001D0519" w:rsidTr="001D0519">
        <w:tc>
          <w:tcPr>
            <w:tcW w:w="5845"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r>
              <w:rPr>
                <w:rFonts w:ascii="Arial" w:hAnsi="Arial" w:cs="Arial"/>
                <w:sz w:val="22"/>
                <w:szCs w:val="22"/>
              </w:rPr>
              <w:t xml:space="preserve">A first degree and PhD in a relevant subject or equivalent level qualification or experience gained through extensive industrial or professional practice or University level teaching. </w:t>
            </w:r>
          </w:p>
          <w:p w:rsidR="001D0519" w:rsidRPr="001D0519" w:rsidRDefault="001D0519" w:rsidP="001D0519">
            <w:pPr>
              <w:rPr>
                <w:rFonts w:ascii="Arial" w:hAnsi="Arial" w:cs="Arial"/>
                <w:sz w:val="22"/>
                <w:szCs w:val="22"/>
              </w:rPr>
            </w:pPr>
          </w:p>
          <w:p w:rsidR="001D0519" w:rsidRDefault="001D0519" w:rsidP="001D0519">
            <w:pPr>
              <w:rPr>
                <w:rFonts w:ascii="Arial" w:hAnsi="Arial" w:cs="Arial"/>
                <w:color w:val="FF0000"/>
                <w:sz w:val="22"/>
                <w:szCs w:val="22"/>
              </w:rPr>
            </w:pPr>
            <w:r w:rsidRPr="001D0519">
              <w:rPr>
                <w:rFonts w:ascii="Arial" w:hAnsi="Arial" w:cs="Arial"/>
                <w:sz w:val="22"/>
                <w:szCs w:val="22"/>
              </w:rPr>
              <w:t xml:space="preserve">Higher education teaching qualification or professional recognition (e.g. </w:t>
            </w:r>
            <w:proofErr w:type="spellStart"/>
            <w:r w:rsidRPr="001D0519">
              <w:rPr>
                <w:rFonts w:ascii="Arial" w:hAnsi="Arial" w:cs="Arial"/>
                <w:sz w:val="22"/>
                <w:szCs w:val="22"/>
              </w:rPr>
              <w:t>PGCert</w:t>
            </w:r>
            <w:proofErr w:type="spellEnd"/>
            <w:r w:rsidRPr="001D0519">
              <w:rPr>
                <w:rFonts w:ascii="Arial" w:hAnsi="Arial" w:cs="Arial"/>
                <w:sz w:val="22"/>
                <w:szCs w:val="22"/>
              </w:rPr>
              <w:t>, FHEA or equivalent)</w:t>
            </w:r>
          </w:p>
        </w:tc>
        <w:tc>
          <w:tcPr>
            <w:tcW w:w="1530"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rsidR="001D0519" w:rsidRPr="001D0519" w:rsidRDefault="001D0519" w:rsidP="001D0519">
            <w:pPr>
              <w:rPr>
                <w:rFonts w:ascii="Arial" w:hAnsi="Arial" w:cs="Arial"/>
                <w:sz w:val="22"/>
                <w:szCs w:val="22"/>
              </w:rPr>
            </w:pPr>
          </w:p>
          <w:p w:rsidR="001D0519" w:rsidRPr="001D0519" w:rsidRDefault="001D0519" w:rsidP="001D0519">
            <w:pPr>
              <w:rPr>
                <w:rFonts w:ascii="Arial" w:hAnsi="Arial" w:cs="Arial"/>
                <w:sz w:val="22"/>
                <w:szCs w:val="22"/>
              </w:rPr>
            </w:pPr>
          </w:p>
          <w:p w:rsidR="001D0519" w:rsidRPr="001D0519" w:rsidRDefault="001D0519" w:rsidP="001D0519">
            <w:pPr>
              <w:rPr>
                <w:rFonts w:ascii="Arial" w:hAnsi="Arial" w:cs="Arial"/>
                <w:sz w:val="22"/>
                <w:szCs w:val="22"/>
              </w:rPr>
            </w:pPr>
          </w:p>
          <w:p w:rsidR="001D0519" w:rsidRPr="001D0519" w:rsidRDefault="001D0519" w:rsidP="001D0519">
            <w:pPr>
              <w:rPr>
                <w:rFonts w:ascii="Arial" w:hAnsi="Arial" w:cs="Arial"/>
                <w:sz w:val="22"/>
                <w:szCs w:val="22"/>
              </w:rPr>
            </w:pPr>
          </w:p>
          <w:p w:rsidR="001D0519" w:rsidRPr="001D0519" w:rsidRDefault="001D0519" w:rsidP="001D0519">
            <w:pPr>
              <w:rPr>
                <w:rFonts w:ascii="Arial" w:hAnsi="Arial" w:cs="Arial"/>
                <w:sz w:val="36"/>
                <w:szCs w:val="22"/>
              </w:rPr>
            </w:pPr>
          </w:p>
          <w:p w:rsidR="001D0519" w:rsidRPr="001D0519" w:rsidRDefault="001D0519" w:rsidP="001D0519">
            <w:pPr>
              <w:rPr>
                <w:rFonts w:ascii="Arial" w:hAnsi="Arial" w:cs="Arial"/>
                <w:sz w:val="22"/>
                <w:szCs w:val="22"/>
              </w:rPr>
            </w:pPr>
            <w:r w:rsidRPr="001D0519">
              <w:rPr>
                <w:rFonts w:ascii="Arial" w:hAnsi="Arial" w:cs="Arial"/>
                <w:sz w:val="22"/>
                <w:szCs w:val="22"/>
              </w:rPr>
              <w:t>√</w:t>
            </w:r>
          </w:p>
        </w:tc>
      </w:tr>
      <w:tr w:rsidR="001D0519" w:rsidTr="001D0519">
        <w:tc>
          <w:tcPr>
            <w:tcW w:w="5845" w:type="dxa"/>
            <w:tcBorders>
              <w:top w:val="single" w:sz="4" w:space="0" w:color="auto"/>
              <w:left w:val="single" w:sz="4" w:space="0" w:color="auto"/>
              <w:bottom w:val="single" w:sz="4" w:space="0" w:color="auto"/>
              <w:right w:val="single" w:sz="4" w:space="0" w:color="auto"/>
            </w:tcBorders>
            <w:shd w:val="clear" w:color="auto" w:fill="FFF9CF"/>
            <w:hideMark/>
          </w:tcPr>
          <w:p w:rsidR="001D0519" w:rsidRDefault="001D0519" w:rsidP="001D0519">
            <w:pPr>
              <w:rPr>
                <w:rFonts w:ascii="Arial" w:hAnsi="Arial" w:cs="Arial"/>
                <w:b/>
                <w:sz w:val="22"/>
                <w:szCs w:val="22"/>
              </w:rPr>
            </w:pPr>
            <w:r>
              <w:rPr>
                <w:rFonts w:ascii="Arial" w:hAnsi="Arial" w:cs="Arial"/>
                <w:b/>
                <w:sz w:val="22"/>
                <w:szCs w:val="22"/>
              </w:rPr>
              <w:t>Experience/Knowledge</w:t>
            </w: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sz w:val="22"/>
                <w:szCs w:val="22"/>
              </w:rPr>
            </w:pPr>
          </w:p>
        </w:tc>
      </w:tr>
      <w:tr w:rsidR="001D0519" w:rsidTr="001D0519">
        <w:tc>
          <w:tcPr>
            <w:tcW w:w="5845" w:type="dxa"/>
            <w:tcBorders>
              <w:top w:val="single" w:sz="4" w:space="0" w:color="auto"/>
              <w:left w:val="single" w:sz="4" w:space="0" w:color="auto"/>
              <w:bottom w:val="single" w:sz="4" w:space="0" w:color="auto"/>
              <w:right w:val="single" w:sz="4" w:space="0" w:color="auto"/>
            </w:tcBorders>
            <w:hideMark/>
          </w:tcPr>
          <w:p w:rsidR="001D0519" w:rsidRDefault="001D0519" w:rsidP="001D0519">
            <w:pPr>
              <w:rPr>
                <w:rFonts w:ascii="Arial" w:hAnsi="Arial" w:cs="Arial"/>
                <w:sz w:val="22"/>
                <w:szCs w:val="22"/>
              </w:rPr>
            </w:pPr>
            <w:r>
              <w:rPr>
                <w:rFonts w:ascii="Arial" w:hAnsi="Arial" w:cs="Arial"/>
                <w:sz w:val="22"/>
                <w:szCs w:val="22"/>
              </w:rPr>
              <w:t>Demonstrates recognisably high quality teaching technique (as evidenced by teaching observations, student feedback scores)</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Demonstrates depth and breadth of understanding of subject matter at a complex conceptual level.</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A sound understanding of academic processes and university regulations associated with teaching/ teaching quality.</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Extensive University teaching experience &amp; undertaking management roles in teaching or significant relevant professional experience</w:t>
            </w:r>
          </w:p>
        </w:tc>
        <w:tc>
          <w:tcPr>
            <w:tcW w:w="1530"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tc>
      </w:tr>
      <w:tr w:rsidR="001D0519" w:rsidTr="001D0519">
        <w:tc>
          <w:tcPr>
            <w:tcW w:w="5845" w:type="dxa"/>
            <w:tcBorders>
              <w:top w:val="single" w:sz="4" w:space="0" w:color="auto"/>
              <w:left w:val="single" w:sz="4" w:space="0" w:color="auto"/>
              <w:bottom w:val="single" w:sz="4" w:space="0" w:color="auto"/>
              <w:right w:val="single" w:sz="4" w:space="0" w:color="auto"/>
            </w:tcBorders>
            <w:shd w:val="clear" w:color="auto" w:fill="FFF9CF"/>
            <w:hideMark/>
          </w:tcPr>
          <w:p w:rsidR="001D0519" w:rsidRDefault="001D0519" w:rsidP="001D0519">
            <w:pPr>
              <w:rPr>
                <w:rFonts w:ascii="Arial" w:hAnsi="Arial" w:cs="Arial"/>
                <w:b/>
                <w:sz w:val="22"/>
                <w:szCs w:val="22"/>
              </w:rPr>
            </w:pPr>
            <w:r>
              <w:rPr>
                <w:rFonts w:ascii="Arial" w:hAnsi="Arial" w:cs="Arial"/>
                <w:b/>
                <w:sz w:val="22"/>
                <w:szCs w:val="22"/>
              </w:rPr>
              <w:t>Skills</w:t>
            </w: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sz w:val="22"/>
                <w:szCs w:val="22"/>
              </w:rPr>
            </w:pPr>
          </w:p>
        </w:tc>
      </w:tr>
      <w:tr w:rsidR="001D0519" w:rsidTr="001D0519">
        <w:tc>
          <w:tcPr>
            <w:tcW w:w="5845" w:type="dxa"/>
            <w:tcBorders>
              <w:top w:val="single" w:sz="4" w:space="0" w:color="auto"/>
              <w:left w:val="single" w:sz="4" w:space="0" w:color="auto"/>
              <w:bottom w:val="single" w:sz="4" w:space="0" w:color="auto"/>
              <w:right w:val="single" w:sz="4" w:space="0" w:color="auto"/>
            </w:tcBorders>
            <w:hideMark/>
          </w:tcPr>
          <w:p w:rsidR="001D0519" w:rsidRDefault="001D0519" w:rsidP="001D0519">
            <w:pPr>
              <w:rPr>
                <w:rFonts w:ascii="Arial" w:hAnsi="Arial" w:cs="Arial"/>
                <w:sz w:val="22"/>
                <w:szCs w:val="22"/>
              </w:rPr>
            </w:pPr>
            <w:r>
              <w:rPr>
                <w:rFonts w:ascii="Arial" w:hAnsi="Arial" w:cs="Arial"/>
                <w:sz w:val="22"/>
                <w:szCs w:val="22"/>
              </w:rPr>
              <w:t>Provides a stimulating learning environment with insights from research or practice.</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Ability to take full responsibility for the design, delivery and co-ordination of teaching programme(s).</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Must be capable of context setting and handling conceptual frameworks.</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Must have excellent interpersonal skills and interactive capability.</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Ability to develop and prepare own teaching materials.</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Ability to recognise those having difficulties, intervene and provide help and support.</w:t>
            </w:r>
          </w:p>
        </w:tc>
        <w:tc>
          <w:tcPr>
            <w:tcW w:w="1530"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tc>
      </w:tr>
      <w:tr w:rsidR="001D0519" w:rsidTr="001D0519">
        <w:tc>
          <w:tcPr>
            <w:tcW w:w="5845" w:type="dxa"/>
            <w:tcBorders>
              <w:top w:val="single" w:sz="4" w:space="0" w:color="auto"/>
              <w:left w:val="single" w:sz="4" w:space="0" w:color="auto"/>
              <w:bottom w:val="single" w:sz="4" w:space="0" w:color="auto"/>
              <w:right w:val="single" w:sz="4" w:space="0" w:color="auto"/>
            </w:tcBorders>
            <w:shd w:val="clear" w:color="auto" w:fill="FFF9CF"/>
            <w:hideMark/>
          </w:tcPr>
          <w:p w:rsidR="001D0519" w:rsidRDefault="001D0519" w:rsidP="001D0519">
            <w:pPr>
              <w:rPr>
                <w:rFonts w:ascii="Arial" w:hAnsi="Arial" w:cs="Arial"/>
                <w:sz w:val="22"/>
                <w:szCs w:val="22"/>
              </w:rPr>
            </w:pPr>
            <w:r>
              <w:rPr>
                <w:rFonts w:ascii="Arial" w:hAnsi="Arial" w:cs="Arial"/>
                <w:b/>
                <w:sz w:val="22"/>
                <w:szCs w:val="22"/>
              </w:rPr>
              <w:t>Attributes</w:t>
            </w: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FFF9CF"/>
          </w:tcPr>
          <w:p w:rsidR="001D0519" w:rsidRDefault="001D0519" w:rsidP="001D0519">
            <w:pPr>
              <w:rPr>
                <w:rFonts w:ascii="Arial" w:hAnsi="Arial" w:cs="Arial"/>
                <w:sz w:val="22"/>
                <w:szCs w:val="22"/>
              </w:rPr>
            </w:pPr>
          </w:p>
        </w:tc>
      </w:tr>
      <w:tr w:rsidR="001D0519" w:rsidTr="001D0519">
        <w:tc>
          <w:tcPr>
            <w:tcW w:w="5845" w:type="dxa"/>
            <w:tcBorders>
              <w:top w:val="single" w:sz="4" w:space="0" w:color="auto"/>
              <w:left w:val="single" w:sz="4" w:space="0" w:color="auto"/>
              <w:bottom w:val="single" w:sz="4" w:space="0" w:color="auto"/>
              <w:right w:val="single" w:sz="4" w:space="0" w:color="auto"/>
            </w:tcBorders>
            <w:hideMark/>
          </w:tcPr>
          <w:p w:rsidR="001D0519" w:rsidRDefault="001D0519" w:rsidP="001D0519">
            <w:pPr>
              <w:rPr>
                <w:rFonts w:ascii="Arial" w:hAnsi="Arial" w:cs="Arial"/>
                <w:sz w:val="22"/>
                <w:szCs w:val="22"/>
              </w:rPr>
            </w:pPr>
            <w:r>
              <w:rPr>
                <w:rFonts w:ascii="Arial" w:hAnsi="Arial" w:cs="Arial"/>
                <w:sz w:val="22"/>
                <w:szCs w:val="22"/>
              </w:rPr>
              <w:t>Ability to engage and encourage active participation by students in own learning.</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Reflective about own practice and able to pro-actively work to improve</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Commitment to professional development in own subject and in teaching &amp; learning</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Able to make a strong contribution to all aspects of the life of the Department</w:t>
            </w:r>
          </w:p>
        </w:tc>
        <w:tc>
          <w:tcPr>
            <w:tcW w:w="1530"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r>
              <w:rPr>
                <w:rFonts w:ascii="Arial" w:hAnsi="Arial" w:cs="Arial"/>
                <w:sz w:val="22"/>
                <w:szCs w:val="22"/>
              </w:rPr>
              <w:t>√</w:t>
            </w:r>
          </w:p>
          <w:p w:rsidR="001D0519" w:rsidRDefault="001D0519" w:rsidP="001D0519">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p w:rsidR="001D0519" w:rsidRDefault="001D0519" w:rsidP="001D0519">
            <w:pPr>
              <w:rPr>
                <w:rFonts w:ascii="Arial" w:hAnsi="Arial" w:cs="Arial"/>
                <w:sz w:val="22"/>
                <w:szCs w:val="22"/>
              </w:rPr>
            </w:pPr>
          </w:p>
        </w:tc>
      </w:tr>
    </w:tbl>
    <w:p w:rsidR="00F52623" w:rsidRDefault="00F52623" w:rsidP="001D0519">
      <w:pPr>
        <w:rPr>
          <w:rFonts w:ascii="Arial" w:hAnsi="Arial" w:cs="Arial"/>
          <w:sz w:val="22"/>
          <w:szCs w:val="22"/>
        </w:rPr>
      </w:pPr>
    </w:p>
    <w:p w:rsidR="00FF5A6C" w:rsidRDefault="00FF5A6C"/>
    <w:sectPr w:rsidR="00FF5A6C" w:rsidSect="001D0519">
      <w:pgSz w:w="11906" w:h="16838"/>
      <w:pgMar w:top="1080" w:right="1440" w:bottom="108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23"/>
    <w:rsid w:val="001D0519"/>
    <w:rsid w:val="006701F8"/>
    <w:rsid w:val="006C4C0C"/>
    <w:rsid w:val="008672C0"/>
    <w:rsid w:val="0092562B"/>
    <w:rsid w:val="00AB45EB"/>
    <w:rsid w:val="00B35236"/>
    <w:rsid w:val="00C35A93"/>
    <w:rsid w:val="00CA2019"/>
    <w:rsid w:val="00CB4888"/>
    <w:rsid w:val="00D650EC"/>
    <w:rsid w:val="00E37998"/>
    <w:rsid w:val="00F52623"/>
    <w:rsid w:val="00FF5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913FD"/>
  <w15:chartTrackingRefBased/>
  <w15:docId w15:val="{26EE80EA-EE70-427F-B35D-7B4A158F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62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52623"/>
    <w:rPr>
      <w:color w:val="0000FF"/>
      <w:u w:val="single"/>
    </w:rPr>
  </w:style>
  <w:style w:type="table" w:styleId="TableGrid">
    <w:name w:val="Table Grid"/>
    <w:basedOn w:val="TableNormal"/>
    <w:rsid w:val="001D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1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mcdonagh@bath.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7347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Coombes</cp:lastModifiedBy>
  <cp:revision>2</cp:revision>
  <dcterms:created xsi:type="dcterms:W3CDTF">2018-02-15T16:43:00Z</dcterms:created>
  <dcterms:modified xsi:type="dcterms:W3CDTF">2018-02-15T16:43:00Z</dcterms:modified>
</cp:coreProperties>
</file>