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F075" w14:textId="77777777" w:rsidR="00737035" w:rsidRDefault="00737035" w:rsidP="007370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33B8D5F3" wp14:editId="54F4AD22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0AAFF" w14:textId="77777777" w:rsidR="00737035" w:rsidRDefault="00737035" w:rsidP="0073703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Job Description</w:t>
      </w:r>
    </w:p>
    <w:p w14:paraId="27ACC118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737035" w14:paraId="6F2BC5A7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97881F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0F1FEA08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F8F1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Associate</w:t>
            </w:r>
          </w:p>
          <w:p w14:paraId="07980CB2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7C97D8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D4A925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30DC615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B201" w14:textId="4AC00875" w:rsidR="00737035" w:rsidRDefault="00A636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Department for Health </w:t>
            </w:r>
          </w:p>
          <w:p w14:paraId="2A4F85B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2E96FB6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7E222F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59639BD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7A73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737035" w14:paraId="7E11242C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06F5C1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0B2D3A2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879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782D548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C07BA23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A5978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55B222E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4AF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Principal Investigator (PI) or Co-Investigator (CI)</w:t>
            </w:r>
          </w:p>
          <w:p w14:paraId="0D81EA5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BC4079E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F7CA2D6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C894" w14:textId="77777777" w:rsidR="0050175E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may be a requirement for:</w:t>
            </w:r>
          </w:p>
          <w:p w14:paraId="003EB1A2" w14:textId="77777777" w:rsidR="00737035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ay to day supervision of other staff e.g. technical staff </w:t>
            </w:r>
            <w:r>
              <w:rPr>
                <w:rFonts w:ascii="Arial" w:hAnsi="Arial" w:cs="Arial"/>
                <w:sz w:val="22"/>
                <w:szCs w:val="22"/>
              </w:rPr>
              <w:t>or,</w:t>
            </w:r>
            <w:r w:rsidR="000E42E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o-supervision of doctoral or undergraduate students </w:t>
            </w:r>
          </w:p>
          <w:p w14:paraId="00313B7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9D1773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A65457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0A272EA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7E14" w14:textId="77777777" w:rsidR="00A63681" w:rsidRDefault="00A63681" w:rsidP="00A636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</w:t>
            </w:r>
            <w:r w:rsidRPr="003F1FA4">
              <w:rPr>
                <w:rFonts w:ascii="Arial" w:hAnsi="Arial" w:cs="Arial"/>
                <w:sz w:val="22"/>
                <w:szCs w:val="22"/>
              </w:rPr>
              <w:t>premises (with some requirement to travel, including international)</w:t>
            </w:r>
          </w:p>
          <w:p w14:paraId="5F772BA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D81807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441EBFA6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7035" w14:paraId="5FEA676E" w14:textId="77777777" w:rsidTr="0073703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AAB2DE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440DC925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16A3723D" w14:textId="77777777" w:rsidTr="000E42EB">
        <w:trPr>
          <w:trHeight w:val="161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E2BE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D771923" w14:textId="77777777" w:rsidR="00A63681" w:rsidRDefault="00A63681" w:rsidP="00A636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1A24">
              <w:rPr>
                <w:rFonts w:ascii="Arial" w:hAnsi="Arial" w:cs="Arial"/>
                <w:color w:val="000000"/>
                <w:sz w:val="22"/>
                <w:szCs w:val="22"/>
              </w:rPr>
              <w:t xml:space="preserve">Ketogenic diets, which limit digestible carbohydrate intake to less than 50g per day, induce ketosis by producing ketone bodies from the breakdown of fatty acids and amino acids.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Ketogenic diets are</w:t>
            </w:r>
            <w:r w:rsidRPr="00B11A2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widely</w:t>
            </w:r>
            <w:r w:rsidRPr="00B11A24">
              <w:rPr>
                <w:rFonts w:ascii="Arial" w:hAnsi="Arial" w:cs="Arial"/>
                <w:color w:val="000000"/>
                <w:sz w:val="22"/>
                <w:szCs w:val="22"/>
              </w:rPr>
              <w:t xml:space="preserve"> used for various neurological disorders and conditions like type 2 diabetes,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and they are also </w:t>
            </w:r>
            <w:r w:rsidRPr="00B11A24">
              <w:rPr>
                <w:rFonts w:ascii="Arial" w:hAnsi="Arial" w:cs="Arial"/>
                <w:color w:val="000000"/>
                <w:sz w:val="22"/>
                <w:szCs w:val="22"/>
              </w:rPr>
              <w:t>popular among healthy adults.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11A24">
              <w:rPr>
                <w:rFonts w:ascii="Arial" w:hAnsi="Arial" w:cs="Arial"/>
                <w:color w:val="000000"/>
                <w:sz w:val="22"/>
                <w:szCs w:val="22"/>
              </w:rPr>
              <w:t xml:space="preserve">However,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one of the negative consequences from consuming a ketogenic diet is an increase</w:t>
            </w:r>
            <w:r w:rsidRPr="00B11A2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in </w:t>
            </w:r>
            <w:r w:rsidRPr="00B11A24">
              <w:rPr>
                <w:rFonts w:ascii="Arial" w:hAnsi="Arial" w:cs="Arial"/>
                <w:color w:val="000000"/>
                <w:sz w:val="22"/>
                <w:szCs w:val="22"/>
              </w:rPr>
              <w:t xml:space="preserve">circulating LDL cholesterol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(LDL-C) concentrations,</w:t>
            </w:r>
            <w:r w:rsidRPr="00B11A24">
              <w:rPr>
                <w:rFonts w:ascii="Arial" w:hAnsi="Arial" w:cs="Arial"/>
                <w:color w:val="000000"/>
                <w:sz w:val="22"/>
                <w:szCs w:val="22"/>
              </w:rPr>
              <w:t xml:space="preserve"> which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increases the risk of</w:t>
            </w:r>
            <w:r w:rsidRPr="00B11A24">
              <w:rPr>
                <w:rFonts w:ascii="Arial" w:hAnsi="Arial" w:cs="Arial"/>
                <w:color w:val="000000"/>
                <w:sz w:val="22"/>
                <w:szCs w:val="22"/>
              </w:rPr>
              <w:t xml:space="preserve"> cardiovascular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disease</w:t>
            </w:r>
            <w:r w:rsidRPr="00B11A24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Pr="00B11A24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B11A24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One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potential </w:t>
            </w:r>
            <w:r w:rsidRPr="00B11A24">
              <w:rPr>
                <w:rFonts w:ascii="Arial" w:hAnsi="Arial" w:cs="Arial"/>
                <w:color w:val="000000"/>
                <w:sz w:val="22"/>
                <w:szCs w:val="22"/>
              </w:rPr>
              <w:t>explanation for the rise in LDL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-C</w:t>
            </w:r>
            <w:r w:rsidRPr="00B11A24">
              <w:rPr>
                <w:rFonts w:ascii="Arial" w:hAnsi="Arial" w:cs="Arial"/>
                <w:color w:val="000000"/>
                <w:sz w:val="22"/>
                <w:szCs w:val="22"/>
              </w:rPr>
              <w:t xml:space="preserve"> during nutritional ketosis is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changes to</w:t>
            </w:r>
            <w:r w:rsidRPr="00B11A24">
              <w:rPr>
                <w:rFonts w:ascii="Arial" w:hAnsi="Arial" w:cs="Arial"/>
                <w:color w:val="000000"/>
                <w:sz w:val="22"/>
                <w:szCs w:val="22"/>
              </w:rPr>
              <w:t xml:space="preserve"> the gut microbiome.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Our preliminary data indicate that k</w:t>
            </w:r>
            <w:r w:rsidRPr="00B11A24">
              <w:rPr>
                <w:rFonts w:ascii="Arial" w:hAnsi="Arial" w:cs="Arial"/>
                <w:color w:val="000000"/>
                <w:sz w:val="22"/>
                <w:szCs w:val="22"/>
              </w:rPr>
              <w:t>etogenic diet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B11A2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which are </w:t>
            </w:r>
            <w:r w:rsidRPr="00B11A24">
              <w:rPr>
                <w:rFonts w:ascii="Arial" w:hAnsi="Arial" w:cs="Arial"/>
                <w:color w:val="000000"/>
                <w:sz w:val="22"/>
                <w:szCs w:val="22"/>
              </w:rPr>
              <w:t>typically low in fib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re</w:t>
            </w:r>
            <w:r w:rsidRPr="00B11A2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reduce the </w:t>
            </w:r>
            <w:r w:rsidRPr="00B11A24">
              <w:rPr>
                <w:rFonts w:ascii="Arial" w:hAnsi="Arial" w:cs="Arial"/>
                <w:color w:val="000000"/>
                <w:sz w:val="22"/>
                <w:szCs w:val="22"/>
              </w:rPr>
              <w:t xml:space="preserve">diversity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of gut microorganisms </w:t>
            </w:r>
            <w:r w:rsidRPr="00B11A24">
              <w:rPr>
                <w:rFonts w:ascii="Arial" w:hAnsi="Arial" w:cs="Arial"/>
                <w:color w:val="000000"/>
                <w:sz w:val="22"/>
                <w:szCs w:val="22"/>
              </w:rPr>
              <w:t>and decrease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11A24">
              <w:rPr>
                <w:rFonts w:ascii="Arial" w:hAnsi="Arial" w:cs="Arial"/>
                <w:color w:val="000000"/>
                <w:sz w:val="22"/>
                <w:szCs w:val="22"/>
              </w:rPr>
              <w:t xml:space="preserve">the abundance of specific genera,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such as</w:t>
            </w:r>
            <w:r w:rsidRPr="00B11A2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1094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Bifidobacteriu</w:t>
            </w:r>
            <w:r w:rsidRPr="00510C8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Pr="00B11A24">
              <w:rPr>
                <w:rFonts w:ascii="Arial" w:hAnsi="Arial" w:cs="Arial"/>
                <w:color w:val="000000"/>
                <w:sz w:val="22"/>
                <w:szCs w:val="22"/>
              </w:rPr>
              <w:t xml:space="preserve">Animal studies have demonstrated the crucial role of gut microbiota in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host </w:t>
            </w:r>
            <w:r w:rsidRPr="00B11A24">
              <w:rPr>
                <w:rFonts w:ascii="Arial" w:hAnsi="Arial" w:cs="Arial"/>
                <w:color w:val="000000"/>
                <w:sz w:val="22"/>
                <w:szCs w:val="22"/>
              </w:rPr>
              <w:t xml:space="preserve">cholesterol metabolism,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and thus</w:t>
            </w:r>
            <w:r w:rsidRPr="00B11A24">
              <w:rPr>
                <w:rFonts w:ascii="Arial" w:hAnsi="Arial" w:cs="Arial"/>
                <w:color w:val="000000"/>
                <w:sz w:val="22"/>
                <w:szCs w:val="22"/>
              </w:rPr>
              <w:t xml:space="preserve"> changes in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gut </w:t>
            </w:r>
            <w:r w:rsidRPr="00B11A24">
              <w:rPr>
                <w:rFonts w:ascii="Arial" w:hAnsi="Arial" w:cs="Arial"/>
                <w:color w:val="000000"/>
                <w:sz w:val="22"/>
                <w:szCs w:val="22"/>
              </w:rPr>
              <w:t xml:space="preserve">microbial </w:t>
            </w:r>
            <w:r w:rsidRPr="00F01EA0">
              <w:rPr>
                <w:rFonts w:ascii="Arial" w:hAnsi="Arial" w:cs="Arial"/>
                <w:color w:val="000000"/>
                <w:sz w:val="22"/>
                <w:szCs w:val="22"/>
              </w:rPr>
              <w:t xml:space="preserve">composition and activity could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explain</w:t>
            </w:r>
            <w:r w:rsidRPr="00F01EA0">
              <w:rPr>
                <w:rFonts w:ascii="Arial" w:hAnsi="Arial" w:cs="Arial"/>
                <w:color w:val="000000"/>
                <w:sz w:val="22"/>
                <w:szCs w:val="22"/>
              </w:rPr>
              <w:t xml:space="preserve"> the increase in LDL-C in humans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consuming</w:t>
            </w:r>
            <w:r w:rsidRPr="00F01EA0">
              <w:rPr>
                <w:rFonts w:ascii="Arial" w:hAnsi="Arial" w:cs="Arial"/>
                <w:color w:val="000000"/>
                <w:sz w:val="22"/>
                <w:szCs w:val="22"/>
              </w:rPr>
              <w:t xml:space="preserve"> a ketogenic diet.</w:t>
            </w:r>
          </w:p>
          <w:p w14:paraId="0D0C4C47" w14:textId="77777777" w:rsidR="00A63681" w:rsidRDefault="00A63681" w:rsidP="00A636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BD6FD50" w14:textId="77777777" w:rsidR="00A63681" w:rsidRDefault="00A63681" w:rsidP="00A636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This project will investigate if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synbiotic supplementation in humans maintains gut microbial composition and function during a ketogenic diet and mitigates against the increase in LDL-C. This is an academic-industry collaborative project funded by a BBSRC Industrial Partnership Award (IPA).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This highly collaborative project will be based at Bath but involves collaborators in Leeds (Professor Kieran Tuohy) and the industrial partner (IFF). There will be a Bath-based PhD student appointed to this project and a Research Associate in Leeds for the final 12 months of the project (who will focus on g</w:t>
            </w:r>
            <w:r w:rsidRPr="00B65D6E">
              <w:rPr>
                <w:rFonts w:ascii="Arial" w:hAnsi="Arial" w:cs="Arial"/>
                <w:color w:val="000000"/>
                <w:sz w:val="22"/>
                <w:szCs w:val="22"/>
              </w:rPr>
              <w:t xml:space="preserve">ut microbial composition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measurements). </w:t>
            </w:r>
          </w:p>
          <w:p w14:paraId="3AC859A8" w14:textId="77777777" w:rsidR="00A63681" w:rsidRDefault="00A63681" w:rsidP="00A636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C349F10" w14:textId="77777777" w:rsidR="00A63681" w:rsidRDefault="00A63681" w:rsidP="00A636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The core part of this Research Associate role at the University of Bath is to conduct a 12-week randomised controlled trial (RCT) in men and women (Synbiotic </w:t>
            </w:r>
            <w:r w:rsidRPr="004060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versus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Placebo). This will include the measurement of LDL-C concentrations and lipoprotein profile using NMR </w:t>
            </w:r>
            <w:r w:rsidRPr="00B65D6E">
              <w:rPr>
                <w:rFonts w:ascii="Arial" w:hAnsi="Arial" w:cs="Arial"/>
                <w:color w:val="000000"/>
                <w:sz w:val="22"/>
                <w:szCs w:val="22"/>
              </w:rPr>
              <w:t>spectroscopy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B65D6E">
              <w:rPr>
                <w:rFonts w:ascii="Arial" w:hAnsi="Arial" w:cs="Arial"/>
                <w:color w:val="000000"/>
                <w:sz w:val="22"/>
                <w:szCs w:val="22"/>
              </w:rPr>
              <w:t>validated biomarkers</w:t>
            </w:r>
            <w:r w:rsidRPr="00151C28">
              <w:rPr>
                <w:rFonts w:ascii="Arial" w:hAnsi="Arial" w:cs="Arial"/>
                <w:color w:val="000000"/>
                <w:sz w:val="22"/>
                <w:szCs w:val="22"/>
              </w:rPr>
              <w:t xml:space="preserve"> to assess cholesterol and bile acid synthesis, 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 </w:t>
            </w:r>
            <w:r w:rsidRPr="000928C4">
              <w:rPr>
                <w:rFonts w:ascii="Arial" w:hAnsi="Arial" w:cs="Arial"/>
                <w:color w:val="000000" w:themeColor="text1"/>
                <w:sz w:val="22"/>
                <w:szCs w:val="22"/>
              </w:rPr>
              <w:t>stable isotope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techniques to examine cholesterol absorption. To examine dynamic changes, </w:t>
            </w:r>
            <w:r w:rsidRPr="005D2D8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we will examine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postprandial </w:t>
            </w:r>
            <w:r w:rsidRPr="005D2D8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fermentation (expired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H</w:t>
            </w:r>
            <w:r w:rsidRPr="008C597C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5D2D82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</w:t>
            </w:r>
            <w:r w:rsidRPr="008C597C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  <w:t>4</w:t>
            </w:r>
            <w:r w:rsidRPr="005D2D82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circulating concentrations of short chain fatty acids (SCFAs) and bile acids, including interconversion of </w:t>
            </w:r>
            <w:r w:rsidRPr="0021731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13</w:t>
            </w:r>
            <w:r w:rsidRPr="005D2D8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C-labelled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polydextrose into systemic SCFAs. </w:t>
            </w:r>
            <w:r w:rsidRPr="00725A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We will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also </w:t>
            </w:r>
            <w:r w:rsidRPr="00725A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examine distal effects of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synbiotic </w:t>
            </w:r>
            <w:r w:rsidRPr="00725A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treatment in adipose tissue biopsies taken in basal conditions and after meal ingestion, and we will use </w:t>
            </w:r>
            <w:r w:rsidRPr="0052187A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in vitro</w:t>
            </w:r>
            <w:r w:rsidRPr="00725A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approaches to interrogate key pathways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49C6FD08" w14:textId="77777777" w:rsidR="00A63681" w:rsidRDefault="00A63681" w:rsidP="00A6368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4CDA74D" w14:textId="6AAFEBC6" w:rsidR="00737035" w:rsidRPr="00A63681" w:rsidRDefault="00A6368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collaborative team have expertise and a track record for the different methods that will be used, and this research is an excellent opportunity to develop skills in </w:t>
            </w:r>
            <w:r w:rsidRPr="008D4D40">
              <w:rPr>
                <w:rFonts w:ascii="Arial" w:hAnsi="Arial" w:cs="Arial"/>
                <w:color w:val="000000" w:themeColor="text1"/>
                <w:sz w:val="22"/>
                <w:szCs w:val="22"/>
              </w:rPr>
              <w:t>state-of-the-art techniques, including stable isotope tracers,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mass spectrometry, adipose tissue handling and measurement, multiplex, and cell culture</w:t>
            </w:r>
            <w:r w:rsidRPr="00D977F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Some measures (e.g., </w:t>
            </w:r>
            <w:r w:rsidRPr="003F1FA4">
              <w:rPr>
                <w:rFonts w:ascii="Arial" w:hAnsi="Arial" w:cs="Arial"/>
                <w:color w:val="000000" w:themeColor="text1"/>
                <w:sz w:val="22"/>
                <w:szCs w:val="22"/>
              </w:rPr>
              <w:t>LC-MS-MS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</w:t>
            </w:r>
            <w:r w:rsidRPr="003F1FA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13C /1H NMR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 will involve travelling to the industrial partner’s laboratories in Europe. Thus, this project is also a good opportunity to learn more about academic-industry partnerships. </w:t>
            </w:r>
          </w:p>
          <w:p w14:paraId="152F4B38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2656368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7623F64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2F269FC5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37035" w14:paraId="46FB3CDA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7CC042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C775B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737035" w14:paraId="4B4154BD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557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8D305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provide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subject-specific research expertise and undertake specific research work to a Principal Investigator (PI)/Co-Investigator (CI) and their research team for a specified grant/project. </w:t>
            </w:r>
          </w:p>
          <w:p w14:paraId="2A2F5ED9" w14:textId="77777777" w:rsidR="00A63681" w:rsidRDefault="00A636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4464AB" w14:textId="1E6DF70B" w:rsidR="00A63681" w:rsidRDefault="00A636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One of the main tasks for the person appointed to this position will be to lead and co-ordinate a human nutritional randomised controlled trial</w:t>
            </w:r>
            <w:r w:rsidRPr="009B05D0">
              <w:rPr>
                <w:rFonts w:ascii="Arial" w:hAnsi="Arial" w:cs="Arial"/>
                <w:sz w:val="22"/>
                <w:szCs w:val="22"/>
              </w:rPr>
              <w:t xml:space="preserve">. The Research Associate will take responsibility for participant recruitment and the day-to-day running of the study, including the co-ordination of research </w:t>
            </w:r>
            <w:r>
              <w:rPr>
                <w:rFonts w:ascii="Arial" w:hAnsi="Arial" w:cs="Arial"/>
                <w:sz w:val="22"/>
                <w:szCs w:val="22"/>
              </w:rPr>
              <w:t xml:space="preserve">and placement </w:t>
            </w:r>
            <w:r w:rsidRPr="009B05D0">
              <w:rPr>
                <w:rFonts w:ascii="Arial" w:hAnsi="Arial" w:cs="Arial"/>
                <w:sz w:val="22"/>
                <w:szCs w:val="22"/>
              </w:rPr>
              <w:t>students</w:t>
            </w:r>
            <w:r>
              <w:rPr>
                <w:rFonts w:ascii="Arial" w:hAnsi="Arial" w:cs="Arial"/>
                <w:sz w:val="22"/>
                <w:szCs w:val="22"/>
              </w:rPr>
              <w:t xml:space="preserve"> – and liaison with partners based outside the University of Bath. </w:t>
            </w:r>
          </w:p>
          <w:p w14:paraId="3E83397D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5CB8D1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142B01D2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828"/>
      </w:tblGrid>
      <w:tr w:rsidR="00737035" w14:paraId="4AC14928" w14:textId="77777777" w:rsidTr="00737035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0F18B3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5D77749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6E09687B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E1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95E5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the PI/CI for (as appropriate to discipline): </w:t>
            </w:r>
          </w:p>
          <w:p w14:paraId="3BCE225F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2168593F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BF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0D74C719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B803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Conduct individual and/or collaborative research projects.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Contribute to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the design and execution of the project </w:t>
            </w:r>
            <w:r>
              <w:rPr>
                <w:rFonts w:ascii="Arial" w:hAnsi="Arial" w:cs="Arial"/>
                <w:sz w:val="22"/>
                <w:szCs w:val="22"/>
              </w:rPr>
              <w:t xml:space="preserve">e.g. timetabling and meeting project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milestones;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participating in regular discussions with collaborative partners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. 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Generate, c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ollect and analyse existing data related to the project using qualitative and/or quantitative techniques.</w:t>
            </w:r>
          </w:p>
          <w:p w14:paraId="20CE3232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4EF4DED3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86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66FB582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1F50" w14:textId="2DA25181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Writ</w:t>
            </w:r>
            <w:r w:rsidR="00D17A16">
              <w:rPr>
                <w:rFonts w:ascii="Arial" w:hAnsi="Arial" w:cs="Arial"/>
                <w:spacing w:val="2"/>
                <w:sz w:val="22"/>
                <w:szCs w:val="22"/>
              </w:rPr>
              <w:t>e-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up results of research and contribut</w:t>
            </w:r>
            <w:r w:rsidR="00D17A16">
              <w:rPr>
                <w:rFonts w:ascii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to the publication of results in high-quality peer-reviewed academic literature.</w:t>
            </w:r>
          </w:p>
          <w:p w14:paraId="35CB2FC8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683263DE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3652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B051" w14:textId="55839EB8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</w:t>
            </w:r>
            <w:r w:rsidR="00D17A16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 results of research project as appropriate to the discipline through activities such as</w:t>
            </w:r>
          </w:p>
          <w:p w14:paraId="2A660D09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overseas research visits </w:t>
            </w:r>
          </w:p>
          <w:p w14:paraId="280EE49E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conference presentations </w:t>
            </w:r>
          </w:p>
          <w:p w14:paraId="5E654CC6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engagement activities</w:t>
            </w:r>
          </w:p>
          <w:p w14:paraId="6F3F3DC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5EC632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34A8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F849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in departmental</w:t>
            </w:r>
            <w:r w:rsidR="0050175E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group meetings and prepare and deliver presentations/seminars to project team, internal and external stakeholders or funders.</w:t>
            </w:r>
          </w:p>
          <w:p w14:paraId="1B8FC7B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2657361" w14:textId="77777777" w:rsidTr="00737035">
        <w:trPr>
          <w:trHeight w:val="3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F209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FF4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 with the supervision of </w:t>
            </w:r>
            <w:r w:rsidR="0050175E">
              <w:rPr>
                <w:rFonts w:ascii="Arial" w:hAnsi="Arial" w:cs="Arial"/>
                <w:sz w:val="22"/>
                <w:szCs w:val="22"/>
              </w:rPr>
              <w:t>post</w:t>
            </w:r>
            <w:r>
              <w:rPr>
                <w:rFonts w:ascii="Arial" w:hAnsi="Arial" w:cs="Arial"/>
                <w:sz w:val="22"/>
                <w:szCs w:val="22"/>
              </w:rPr>
              <w:t>graduate students and undergraduate project students and the assessment of student knowledge.</w:t>
            </w:r>
          </w:p>
          <w:p w14:paraId="66B6805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D98FED4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FC7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1B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67B88A2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65D25D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E886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50E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Identify sources of funding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provide assistance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with preparing bids to funding bodies. Develop ability to secure own funding e.g. travel grants. </w:t>
            </w:r>
          </w:p>
          <w:p w14:paraId="4971307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9A6A1C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7B9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762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the development of research objectives and proposals for own or joint research projects, with assistance of a mentor, if required.</w:t>
            </w:r>
          </w:p>
          <w:p w14:paraId="22EF193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9FEF74A" w14:textId="77777777" w:rsidTr="00E6562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35FE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33B7" w14:textId="77777777" w:rsidR="00E65629" w:rsidRDefault="00737035" w:rsidP="00E65629">
            <w:pPr>
              <w:rPr>
                <w:rFonts w:ascii="Arial" w:hAnsi="Arial" w:cs="Arial"/>
                <w:sz w:val="22"/>
                <w:szCs w:val="22"/>
              </w:rPr>
            </w:pPr>
            <w:r w:rsidRPr="00E65629"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teaching.</w:t>
            </w:r>
          </w:p>
          <w:p w14:paraId="4145B35E" w14:textId="77AE8192" w:rsidR="00E65629" w:rsidRPr="00E65629" w:rsidRDefault="00E65629" w:rsidP="00E656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5629" w14:paraId="40A37C62" w14:textId="77777777" w:rsidTr="00737035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506E" w14:textId="4B43C847" w:rsidR="00E65629" w:rsidRDefault="00E6562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FFE3" w14:textId="5B078F5E" w:rsidR="00E65629" w:rsidRDefault="00E65629" w:rsidP="00E65629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  <w:r w:rsidRPr="00E65629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As a member of Research Staff at the University, you will be encouraged to take up a minimum of 10 days</w:t>
            </w:r>
            <w:r w:rsidR="00D17A16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’</w:t>
            </w:r>
            <w:r w:rsidRPr="00E65629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 professional development pro rata per year. You should use this time to spend on activities that will benefit your career development and your personal growth. Examples </w:t>
            </w:r>
            <w:proofErr w:type="gramStart"/>
            <w:r w:rsidRPr="00E65629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include:</w:t>
            </w:r>
            <w:proofErr w:type="gramEnd"/>
            <w:r w:rsidRPr="00E65629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 attending workshops, career development coaching, mentoring, training courses, participation in networks, attending conferences, writing fellowship or funding applications, and representing the research staff community on committees or working groups.</w:t>
            </w:r>
          </w:p>
          <w:p w14:paraId="50B5710B" w14:textId="77777777" w:rsidR="00E65629" w:rsidRDefault="00E65629" w:rsidP="00E65629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</w:p>
          <w:p w14:paraId="5BBE9B12" w14:textId="77777777" w:rsidR="00E65629" w:rsidRDefault="00E65629" w:rsidP="00E65629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The University, as a signatory to the Concordat for the Career Development of Researchers, is committed to its principles. We aim to provide a supportive and inclusive environment, where researchers’ contributions are recognised and valued, and we provide opportunities to enable research staff to develop their full potential. </w:t>
            </w:r>
          </w:p>
          <w:p w14:paraId="7A98528A" w14:textId="77777777" w:rsidR="00E65629" w:rsidRDefault="00E656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F7F1BBA" w14:textId="77777777" w:rsidTr="00737035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9911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EA1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University guidance. </w:t>
            </w:r>
          </w:p>
          <w:p w14:paraId="54D5F75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5774DB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5A3228BA" w14:textId="02672D5B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5151581D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49A2D3BB" wp14:editId="06A199BC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38AE23A2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2127"/>
        <w:gridCol w:w="1984"/>
      </w:tblGrid>
      <w:tr w:rsidR="00737035" w14:paraId="77042A4C" w14:textId="77777777" w:rsidTr="00A63681">
        <w:trPr>
          <w:trHeight w:hRule="exact" w:val="56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C23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24BB781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ADD3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CFD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37035" w14:paraId="11756C9A" w14:textId="77777777" w:rsidTr="00A63681">
        <w:trPr>
          <w:trHeight w:hRule="exact" w:val="52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79DB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A7C4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E80F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84ADE33" w14:textId="77777777" w:rsidTr="00A63681">
        <w:trPr>
          <w:trHeight w:hRule="exact" w:val="395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ACD61" w14:textId="1B4D98CE" w:rsidR="00AB3808" w:rsidRDefault="00AB38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bookmarkStart w:id="0" w:name="_Hlk168395524"/>
            <w:r>
              <w:rPr>
                <w:rFonts w:ascii="Arial" w:hAnsi="Arial" w:cs="Arial"/>
                <w:sz w:val="22"/>
                <w:szCs w:val="22"/>
              </w:rPr>
              <w:lastRenderedPageBreak/>
              <w:t>Undergraduate degree (e.g. BA, BSc, BEng)</w:t>
            </w:r>
          </w:p>
          <w:p w14:paraId="42FA852D" w14:textId="77777777" w:rsidR="0003142B" w:rsidRDefault="00737035" w:rsidP="0003142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PhD</w:t>
            </w:r>
            <w:r w:rsidR="000A1E1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degree</w:t>
            </w:r>
            <w:r w:rsidR="001A00D4">
              <w:rPr>
                <w:rFonts w:ascii="Arial" w:hAnsi="Arial" w:cs="Arial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 xml:space="preserve"> in subject area of direct relevance for the project</w:t>
            </w:r>
            <w:r w:rsidR="00A830B8">
              <w:rPr>
                <w:rFonts w:ascii="Arial" w:hAnsi="Arial" w:cs="Arial"/>
                <w:sz w:val="22"/>
                <w:szCs w:val="22"/>
              </w:rPr>
              <w:t>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7A16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End w:id="0"/>
          </w:p>
          <w:p w14:paraId="2F3DBD7F" w14:textId="3444804B" w:rsidR="0003142B" w:rsidRDefault="0003142B" w:rsidP="0003142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Professional/Industrial/Creative Doctorate in subject area of direct relevance for the project (e.g. DBA, MD, EdD, PsyD,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EngD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DA); </w:t>
            </w:r>
            <w:r w:rsidRPr="00D17A16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6E9B6B5A" w14:textId="77777777" w:rsidR="0003142B" w:rsidRDefault="0003142B" w:rsidP="0003142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Professional qualification (e.g. Chartership) and relevant experience equivalent to that of a PhD; </w:t>
            </w:r>
            <w:r w:rsidRPr="00D17A16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5B726111" w14:textId="77777777" w:rsidR="0003142B" w:rsidRDefault="0003142B" w:rsidP="0003142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Professional experience in relevant discipline equivalent to that of a PhD </w:t>
            </w:r>
          </w:p>
          <w:p w14:paraId="60D41B9F" w14:textId="7BAB1B83" w:rsidR="0003142B" w:rsidRDefault="0003142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2345B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44348E22" w14:textId="3F5F49AC" w:rsidR="00AB3808" w:rsidRDefault="00AB38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93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805FC0C" w14:textId="77777777" w:rsidTr="00A63681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4A0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4C94DAC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8FB0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F76D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0BA1841" w14:textId="77777777" w:rsidTr="00A63681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1E1E" w14:textId="77777777" w:rsidR="00737035" w:rsidRPr="00C543A3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0C543A3">
              <w:rPr>
                <w:rFonts w:ascii="Arial" w:hAnsi="Arial" w:cs="Arial"/>
                <w:sz w:val="22"/>
                <w:szCs w:val="22"/>
              </w:rPr>
              <w:t>Post doctoral experience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42DD" w14:textId="77777777" w:rsidR="00737035" w:rsidRPr="00C543A3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CC337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A63681" w14:paraId="7E2F6857" w14:textId="77777777" w:rsidTr="00A63681">
        <w:trPr>
          <w:trHeight w:hRule="exact" w:val="68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EA909" w14:textId="0A6C7F90" w:rsidR="00A63681" w:rsidRPr="00C543A3" w:rsidRDefault="00A63681" w:rsidP="00A6368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C543A3">
              <w:rPr>
                <w:rFonts w:ascii="Arial" w:hAnsi="Arial" w:cs="Arial"/>
                <w:bCs/>
                <w:sz w:val="22"/>
                <w:szCs w:val="22"/>
              </w:rPr>
              <w:t>Experience of managing and conducting studies using human volunteers as research participants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7C01F" w14:textId="7F666FA8" w:rsidR="00A63681" w:rsidRPr="00C543A3" w:rsidRDefault="00A63681" w:rsidP="00A6368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3A3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236DD" w14:textId="77777777" w:rsidR="00A63681" w:rsidRDefault="00A63681" w:rsidP="00A6368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3681" w14:paraId="3AD87914" w14:textId="77777777" w:rsidTr="00A63681">
        <w:trPr>
          <w:trHeight w:hRule="exact" w:val="85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2FA7C" w14:textId="17D670A7" w:rsidR="00A63681" w:rsidRPr="00C543A3" w:rsidRDefault="00A63681" w:rsidP="00A6368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C543A3">
              <w:rPr>
                <w:rFonts w:ascii="Arial" w:hAnsi="Arial" w:cs="Arial"/>
                <w:sz w:val="22"/>
                <w:szCs w:val="22"/>
              </w:rPr>
              <w:t xml:space="preserve">Experience of handling and processing tissue samples collected from human participants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02D07" w14:textId="18AC6A72" w:rsidR="00A63681" w:rsidRPr="00C543A3" w:rsidRDefault="00A63681" w:rsidP="00A6368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3A3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C5869" w14:textId="77777777" w:rsidR="00A63681" w:rsidRDefault="00A63681" w:rsidP="00A6368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3681" w14:paraId="621BF5C9" w14:textId="77777777" w:rsidTr="00A63681">
        <w:trPr>
          <w:trHeight w:hRule="exact" w:val="70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547B0" w14:textId="297C5E99" w:rsidR="00A63681" w:rsidRPr="00C543A3" w:rsidRDefault="00A63681" w:rsidP="00A6368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C543A3">
              <w:rPr>
                <w:rFonts w:ascii="Arial" w:hAnsi="Arial" w:cs="Arial"/>
                <w:sz w:val="22"/>
                <w:szCs w:val="22"/>
              </w:rPr>
              <w:t>Experience of intervention studies in humans (e.g., nutrition or exercise interventions)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C1DBA" w14:textId="2345DC7D" w:rsidR="00A63681" w:rsidRPr="00C543A3" w:rsidRDefault="00A63681" w:rsidP="00A6368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3A3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D4CE6" w14:textId="77777777" w:rsidR="00A63681" w:rsidRDefault="00A63681" w:rsidP="00A6368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3681" w14:paraId="3F151091" w14:textId="77777777" w:rsidTr="00A63681">
        <w:trPr>
          <w:trHeight w:hRule="exact" w:val="7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0234" w14:textId="4A287722" w:rsidR="00A63681" w:rsidRPr="00C543A3" w:rsidRDefault="00A63681" w:rsidP="00A6368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C543A3">
              <w:rPr>
                <w:rFonts w:ascii="Arial" w:hAnsi="Arial" w:cs="Arial"/>
                <w:sz w:val="22"/>
                <w:szCs w:val="22"/>
              </w:rPr>
              <w:t>Experience of metabolic or physiological measurements in human participants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5AC1" w14:textId="0D6F3762" w:rsidR="00A63681" w:rsidRPr="00C543A3" w:rsidRDefault="00A63681" w:rsidP="00A6368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3A3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FA475" w14:textId="77777777" w:rsidR="00A63681" w:rsidRDefault="00A63681" w:rsidP="00A6368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BE80133" w14:textId="77777777" w:rsidTr="00A63681">
        <w:trPr>
          <w:trHeight w:hRule="exact" w:val="120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1587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significant depth and breadth of specialist knowledge of subject matter to contribute to research programmes and to the development of departmental research activities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AD74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35D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11E3AA" w14:textId="77777777" w:rsidTr="00A63681">
        <w:trPr>
          <w:trHeight w:hRule="exact" w:val="72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CCA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 and in research design</w:t>
            </w:r>
          </w:p>
          <w:p w14:paraId="7AF3102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59C01D42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F4C8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07C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4B8CE8C" w14:textId="77777777" w:rsidTr="00A63681">
        <w:trPr>
          <w:trHeight w:hRule="exact" w:val="6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7B519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potential to publish in high quality, peer reviewed journals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B265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DD6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C0A2C7C" w14:textId="77777777" w:rsidTr="00A63681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917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50B24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554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D4C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3681" w14:paraId="12A7970C" w14:textId="77777777" w:rsidTr="00A63681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B08F" w14:textId="398F8E95" w:rsidR="00A63681" w:rsidRPr="00C543A3" w:rsidRDefault="00A63681" w:rsidP="00A6368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C543A3">
              <w:rPr>
                <w:rFonts w:ascii="Arial" w:hAnsi="Arial" w:cs="Arial"/>
                <w:sz w:val="22"/>
                <w:szCs w:val="22"/>
              </w:rPr>
              <w:t>Proficiency in quantitative techniques relevant to the project (e.g., stable isotopes, mass spectrometry, ELISA, RT-PCR, western blotting)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7609F" w14:textId="77777777" w:rsidR="00A63681" w:rsidRPr="00C543A3" w:rsidRDefault="00A63681" w:rsidP="00A6368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2B71C" w14:textId="2F39646B" w:rsidR="00A63681" w:rsidRPr="00A63681" w:rsidRDefault="00A63681" w:rsidP="00A6368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543A3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A63681" w14:paraId="1D62F2A5" w14:textId="77777777" w:rsidTr="00A63681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D7598" w14:textId="535DC684" w:rsidR="00A63681" w:rsidRPr="00C543A3" w:rsidRDefault="00A63681" w:rsidP="00A6368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C543A3">
              <w:rPr>
                <w:rFonts w:ascii="Arial" w:hAnsi="Arial" w:cs="Arial"/>
                <w:sz w:val="22"/>
                <w:szCs w:val="22"/>
              </w:rPr>
              <w:t>Proficiency in managing human studies, including data confidentiality and data retention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513AC" w14:textId="4F958E5E" w:rsidR="00A63681" w:rsidRPr="00C543A3" w:rsidRDefault="00A63681" w:rsidP="00A6368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3A3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083F4" w14:textId="77777777" w:rsidR="00A63681" w:rsidRPr="00A63681" w:rsidRDefault="00A63681" w:rsidP="00A6368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A63681" w14:paraId="4B0A5B39" w14:textId="77777777" w:rsidTr="00A63681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392E0" w14:textId="77777777" w:rsidR="00A63681" w:rsidRPr="00C543A3" w:rsidRDefault="00A63681" w:rsidP="00A6368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43A3">
              <w:rPr>
                <w:rFonts w:ascii="Arial" w:hAnsi="Arial" w:cs="Arial"/>
                <w:bCs/>
                <w:sz w:val="22"/>
                <w:szCs w:val="22"/>
              </w:rPr>
              <w:t>Ability to apply for and manage ethical approval for research projects involving human volunteers.</w:t>
            </w:r>
          </w:p>
          <w:p w14:paraId="7A0C1650" w14:textId="77777777" w:rsidR="00A63681" w:rsidRPr="00C543A3" w:rsidRDefault="00A63681" w:rsidP="00A6368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EC21" w14:textId="4DA67656" w:rsidR="00A63681" w:rsidRPr="00C543A3" w:rsidRDefault="00A63681" w:rsidP="00A6368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3A3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F8B93" w14:textId="77777777" w:rsidR="00A63681" w:rsidRPr="00A63681" w:rsidRDefault="00A63681" w:rsidP="00A6368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737035" w14:paraId="1945A535" w14:textId="77777777" w:rsidTr="00A63681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95D4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Ability to prepare research proposals, to conduct individual research work and to disseminate results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B2FA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C801" w14:textId="77777777" w:rsidR="00737035" w:rsidRDefault="0059540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21BC68E4" w14:textId="77777777" w:rsidTr="00A63681">
        <w:trPr>
          <w:trHeight w:hRule="exact" w:val="68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A9B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  <w:p w14:paraId="627F7613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9C81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E66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BE4630D" w14:textId="77777777" w:rsidTr="00A63681">
        <w:trPr>
          <w:trHeight w:hRule="exact" w:val="61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F2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C00C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853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0D998BC" w14:textId="77777777" w:rsidTr="00A63681">
        <w:trPr>
          <w:trHeight w:hRule="exact" w:val="71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8BBEB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oral, interpersonal and written communication 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E0A2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3817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5C32C20F" w14:textId="77777777" w:rsidTr="00A63681">
        <w:trPr>
          <w:trHeight w:hRule="exact" w:val="69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5179F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Proficiency in </w:t>
            </w:r>
            <w:r w:rsidR="00595400">
              <w:rPr>
                <w:rFonts w:ascii="Arial" w:hAnsi="Arial" w:cs="Arial"/>
                <w:sz w:val="22"/>
                <w:szCs w:val="22"/>
              </w:rPr>
              <w:t>appropriate</w:t>
            </w:r>
            <w:r>
              <w:rPr>
                <w:rFonts w:ascii="Arial" w:hAnsi="Arial" w:cs="Arial"/>
                <w:sz w:val="22"/>
                <w:szCs w:val="22"/>
              </w:rPr>
              <w:t xml:space="preserve"> techniques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818DC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E918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D51E0CD" w14:textId="77777777" w:rsidTr="00A63681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BB29C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FD97F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BA45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383BC32" w14:textId="77777777" w:rsidTr="00A63681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9FC8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C8A726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11ED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12BE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1ADC679" w14:textId="77777777" w:rsidTr="00A63681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945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14:paraId="7C62C71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9B8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BD3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D2BFCAD" w14:textId="77777777" w:rsidTr="00A63681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3C6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D65F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13C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891CE84" w14:textId="77777777" w:rsidTr="00A63681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54B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981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941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F6262B7" w14:textId="77777777" w:rsidTr="00A63681">
        <w:trPr>
          <w:trHeight w:hRule="exact" w:val="45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575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Enthusiasm and self-motivation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FD06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5FA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F142481" w14:textId="77777777" w:rsidTr="00A63681">
        <w:trPr>
          <w:trHeight w:hRule="exact" w:val="70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CB6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Tenacity – working to achieve own and team objectives and to overcome obstacles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57F8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CFD6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8D1AF7F" w14:textId="77777777" w:rsidTr="00A63681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219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3E39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FC8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F7A22A" w14:textId="77777777" w:rsidTr="00A63681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568F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610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078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127214" w14:textId="77777777" w:rsidR="000A1E1D" w:rsidRPr="001A00D4" w:rsidRDefault="000A1E1D" w:rsidP="000A1E1D">
      <w:pPr>
        <w:pStyle w:val="xxxxxmsonormal0"/>
        <w:rPr>
          <w:rFonts w:ascii="Arial" w:hAnsi="Arial" w:cs="Arial"/>
          <w:sz w:val="18"/>
          <w:szCs w:val="18"/>
        </w:rPr>
      </w:pPr>
    </w:p>
    <w:p w14:paraId="49CBDAE9" w14:textId="4EF32C19" w:rsidR="000A1E1D" w:rsidRPr="00973164" w:rsidRDefault="001A00D4" w:rsidP="00973164">
      <w:pPr>
        <w:ind w:right="-1050"/>
        <w:rPr>
          <w:rFonts w:ascii="Arial" w:hAnsi="Arial" w:cs="Arial"/>
        </w:rPr>
      </w:pPr>
      <w:r w:rsidRPr="00973164">
        <w:rPr>
          <w:rFonts w:ascii="Arial" w:hAnsi="Arial" w:cs="Arial"/>
        </w:rPr>
        <w:t>*</w:t>
      </w:r>
      <w:r w:rsidRPr="00973164">
        <w:rPr>
          <w:rStyle w:val="normaltextrun"/>
          <w:rFonts w:ascii="Arial" w:hAnsi="Arial" w:cs="Arial"/>
          <w:color w:val="000000"/>
          <w:shd w:val="clear" w:color="auto" w:fill="FFFFFF"/>
        </w:rPr>
        <w:t>If you have not yet been awarded your PhD, you will need to have at least submitted your thesis in</w:t>
      </w:r>
      <w:r w:rsidR="00973164"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973164">
        <w:rPr>
          <w:rStyle w:val="normaltextrun"/>
          <w:rFonts w:ascii="Arial" w:hAnsi="Arial" w:cs="Arial"/>
          <w:color w:val="000000"/>
          <w:shd w:val="clear" w:color="auto" w:fill="FFFFFF"/>
        </w:rPr>
        <w:t>order to be offered this role (if successful). This offer would be subject to you passing your viva with</w:t>
      </w:r>
      <w:r w:rsidR="003961E3"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or without</w:t>
      </w:r>
      <w:r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minor corrections and your PhD being awarded within your six-month probation period. Please note that an offer may be withdrawn, or probation failed, if a PhD viva is not passed or passed with major corrections.</w:t>
      </w:r>
      <w:r w:rsidR="003961E3"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The University’s normal </w:t>
      </w:r>
      <w:hyperlink r:id="rId8" w:history="1">
        <w:r w:rsidR="003961E3" w:rsidRPr="00973164">
          <w:rPr>
            <w:rStyle w:val="Hyperlink"/>
            <w:rFonts w:ascii="Arial" w:hAnsi="Arial" w:cs="Arial"/>
            <w:shd w:val="clear" w:color="auto" w:fill="FFFFFF"/>
          </w:rPr>
          <w:t>probationary requirements</w:t>
        </w:r>
      </w:hyperlink>
      <w:r w:rsidR="003961E3"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apply in all other respects. </w:t>
      </w:r>
    </w:p>
    <w:p w14:paraId="4A68B46C" w14:textId="77777777" w:rsidR="000A1E1D" w:rsidRDefault="000A1E1D" w:rsidP="0073703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693BBC6F" w14:textId="77777777" w:rsidR="009A62F9" w:rsidRDefault="009A62F9"/>
    <w:sectPr w:rsidR="009A62F9">
      <w:endnotePr>
        <w:numFmt w:val="chicago"/>
      </w:end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4ADEC" w14:textId="77777777" w:rsidR="00897D12" w:rsidRDefault="00897D12" w:rsidP="000A1E1D">
      <w:r>
        <w:separator/>
      </w:r>
    </w:p>
  </w:endnote>
  <w:endnote w:type="continuationSeparator" w:id="0">
    <w:p w14:paraId="76353F72" w14:textId="77777777" w:rsidR="00897D12" w:rsidRDefault="00897D12" w:rsidP="000A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CAE1E" w14:textId="77777777" w:rsidR="00897D12" w:rsidRDefault="00897D12" w:rsidP="000A1E1D">
      <w:r>
        <w:separator/>
      </w:r>
    </w:p>
  </w:footnote>
  <w:footnote w:type="continuationSeparator" w:id="0">
    <w:p w14:paraId="69A890F2" w14:textId="77777777" w:rsidR="00897D12" w:rsidRDefault="00897D12" w:rsidP="000A1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11FF2"/>
    <w:multiLevelType w:val="hybridMultilevel"/>
    <w:tmpl w:val="5FB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93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35"/>
    <w:rsid w:val="0003142B"/>
    <w:rsid w:val="000A1E1D"/>
    <w:rsid w:val="000E42EB"/>
    <w:rsid w:val="001000DF"/>
    <w:rsid w:val="00154DBD"/>
    <w:rsid w:val="001765D3"/>
    <w:rsid w:val="001A00D4"/>
    <w:rsid w:val="00236DB6"/>
    <w:rsid w:val="00281B79"/>
    <w:rsid w:val="002F1830"/>
    <w:rsid w:val="002F463B"/>
    <w:rsid w:val="003961E3"/>
    <w:rsid w:val="003F1941"/>
    <w:rsid w:val="00442861"/>
    <w:rsid w:val="004D26C7"/>
    <w:rsid w:val="0050175E"/>
    <w:rsid w:val="00505358"/>
    <w:rsid w:val="00581CB5"/>
    <w:rsid w:val="00595400"/>
    <w:rsid w:val="0062647B"/>
    <w:rsid w:val="00737035"/>
    <w:rsid w:val="00747190"/>
    <w:rsid w:val="007E5D4F"/>
    <w:rsid w:val="007F4855"/>
    <w:rsid w:val="00811872"/>
    <w:rsid w:val="00897D12"/>
    <w:rsid w:val="00973164"/>
    <w:rsid w:val="009A62F9"/>
    <w:rsid w:val="00A63681"/>
    <w:rsid w:val="00A830B8"/>
    <w:rsid w:val="00AB3808"/>
    <w:rsid w:val="00C543A3"/>
    <w:rsid w:val="00D17A16"/>
    <w:rsid w:val="00DA5C93"/>
    <w:rsid w:val="00DC789F"/>
    <w:rsid w:val="00E65629"/>
    <w:rsid w:val="00F6586D"/>
    <w:rsid w:val="00F7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832AC"/>
  <w15:chartTrackingRefBased/>
  <w15:docId w15:val="{927A42DD-D289-4EC8-8628-ADECA1B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03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35"/>
    <w:pPr>
      <w:ind w:left="720"/>
      <w:contextualSpacing/>
    </w:pPr>
  </w:style>
  <w:style w:type="paragraph" w:customStyle="1" w:styleId="xxxxxmsonormal0">
    <w:name w:val="x_xxxxmsonormal0"/>
    <w:basedOn w:val="Normal"/>
    <w:rsid w:val="000A1E1D"/>
    <w:rPr>
      <w:rFonts w:ascii="Calibri" w:eastAsia="Calibri" w:hAnsi="Calibri" w:cs="Calibri"/>
      <w:sz w:val="22"/>
      <w:szCs w:val="22"/>
      <w:lang w:eastAsia="en-GB"/>
    </w:rPr>
  </w:style>
  <w:style w:type="paragraph" w:styleId="FootnoteText">
    <w:name w:val="footnote text"/>
    <w:basedOn w:val="Normal"/>
    <w:link w:val="FootnoteTextChar"/>
    <w:rsid w:val="000A1E1D"/>
  </w:style>
  <w:style w:type="character" w:customStyle="1" w:styleId="FootnoteTextChar">
    <w:name w:val="Footnote Text Char"/>
    <w:basedOn w:val="DefaultParagraphFont"/>
    <w:link w:val="FootnoteText"/>
    <w:rsid w:val="000A1E1D"/>
    <w:rPr>
      <w:lang w:eastAsia="en-US"/>
    </w:rPr>
  </w:style>
  <w:style w:type="character" w:styleId="FootnoteReference">
    <w:name w:val="footnote reference"/>
    <w:basedOn w:val="DefaultParagraphFont"/>
    <w:rsid w:val="000A1E1D"/>
    <w:rPr>
      <w:vertAlign w:val="superscript"/>
    </w:rPr>
  </w:style>
  <w:style w:type="paragraph" w:styleId="EndnoteText">
    <w:name w:val="endnote text"/>
    <w:basedOn w:val="Normal"/>
    <w:link w:val="EndnoteTextChar"/>
    <w:rsid w:val="000A1E1D"/>
  </w:style>
  <w:style w:type="character" w:customStyle="1" w:styleId="EndnoteTextChar">
    <w:name w:val="Endnote Text Char"/>
    <w:basedOn w:val="DefaultParagraphFont"/>
    <w:link w:val="EndnoteText"/>
    <w:rsid w:val="000A1E1D"/>
    <w:rPr>
      <w:lang w:eastAsia="en-US"/>
    </w:rPr>
  </w:style>
  <w:style w:type="character" w:styleId="EndnoteReference">
    <w:name w:val="endnote reference"/>
    <w:basedOn w:val="DefaultParagraphFont"/>
    <w:rsid w:val="000A1E1D"/>
    <w:rPr>
      <w:vertAlign w:val="superscript"/>
    </w:rPr>
  </w:style>
  <w:style w:type="paragraph" w:styleId="Revision">
    <w:name w:val="Revision"/>
    <w:hidden/>
    <w:uiPriority w:val="99"/>
    <w:semiHidden/>
    <w:rsid w:val="00A830B8"/>
    <w:rPr>
      <w:lang w:eastAsia="en-US"/>
    </w:rPr>
  </w:style>
  <w:style w:type="paragraph" w:styleId="NormalWeb">
    <w:name w:val="Normal (Web)"/>
    <w:basedOn w:val="Normal"/>
    <w:uiPriority w:val="99"/>
    <w:unhideWhenUsed/>
    <w:rsid w:val="00E6562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A00D4"/>
  </w:style>
  <w:style w:type="character" w:styleId="Hyperlink">
    <w:name w:val="Hyperlink"/>
    <w:basedOn w:val="DefaultParagraphFont"/>
    <w:rsid w:val="003961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/legal-information/probation-policy-and-procedur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Elle Doyle</cp:lastModifiedBy>
  <cp:revision>2</cp:revision>
  <dcterms:created xsi:type="dcterms:W3CDTF">2025-07-02T15:08:00Z</dcterms:created>
  <dcterms:modified xsi:type="dcterms:W3CDTF">2025-07-02T15:08:00Z</dcterms:modified>
</cp:coreProperties>
</file>