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E9" w:rsidRDefault="00681EE9" w:rsidP="00681EE9">
      <w:pPr>
        <w:pStyle w:val="NormalWeb"/>
        <w:spacing w:before="0"/>
        <w:jc w:val="center"/>
        <w:rPr>
          <w:rFonts w:ascii="Arial" w:hAnsi="Arial" w:cs="Arial"/>
          <w:b/>
          <w:bCs/>
        </w:rPr>
      </w:pPr>
      <w:bookmarkStart w:id="0" w:name="Jobdescriptiontemplate"/>
      <w:bookmarkEnd w:id="0"/>
      <w:r>
        <w:rPr>
          <w:rFonts w:ascii="Arial" w:hAnsi="Arial" w:cs="Arial"/>
          <w:b/>
          <w:bCs/>
        </w:rPr>
        <w:t>UNIVERSITY of BATH</w:t>
      </w:r>
    </w:p>
    <w:p w:rsidR="00681EE9" w:rsidRPr="00450FBF" w:rsidRDefault="00681EE9" w:rsidP="00681EE9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Job Description: Research </w:t>
      </w:r>
      <w:r w:rsidR="0094175B">
        <w:rPr>
          <w:rFonts w:ascii="Arial" w:hAnsi="Arial" w:cs="Arial"/>
          <w:b/>
          <w:bCs/>
        </w:rPr>
        <w:t>Associate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6106"/>
      </w:tblGrid>
      <w:tr w:rsidR="00681EE9" w:rsidTr="00D52A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Research </w:t>
            </w:r>
            <w:r w:rsidR="0094175B">
              <w:rPr>
                <w:rFonts w:ascii="Arial" w:hAnsi="Arial" w:cs="Arial"/>
                <w:bCs/>
                <w:sz w:val="22"/>
                <w:szCs w:val="22"/>
              </w:rPr>
              <w:t xml:space="preserve">Associate </w:t>
            </w:r>
          </w:p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EE9" w:rsidTr="00D52A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Mathematical Sciences</w:t>
            </w:r>
          </w:p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EE9" w:rsidTr="00D52A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62626"/>
                <w:lang w:val="en-US" w:eastAsia="en-US"/>
              </w:rPr>
              <w:t xml:space="preserve">GBP </w:t>
            </w:r>
            <w:r w:rsidRPr="008B5CF2">
              <w:rPr>
                <w:rFonts w:ascii="Arial" w:hAnsi="Arial" w:cs="Arial"/>
                <w:bCs/>
                <w:color w:val="262626"/>
                <w:lang w:val="en-US" w:eastAsia="en-US"/>
              </w:rPr>
              <w:t>32,004-38,183  per annum (grade 7)</w:t>
            </w:r>
            <w:r w:rsidRPr="008B5CF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681EE9" w:rsidRPr="008B5CF2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EE9" w:rsidTr="00D52A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Claverton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Down Campus, University of Bath</w:t>
            </w:r>
          </w:p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EE9" w:rsidRDefault="00681EE9" w:rsidP="00681EE9">
      <w:pPr>
        <w:rPr>
          <w:rFonts w:ascii="Arial" w:hAnsi="Arial" w:cs="Arial"/>
          <w:sz w:val="22"/>
          <w:szCs w:val="22"/>
        </w:rPr>
      </w:pPr>
    </w:p>
    <w:tbl>
      <w:tblPr>
        <w:tblW w:w="90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49"/>
      </w:tblGrid>
      <w:tr w:rsidR="00681EE9" w:rsidTr="00D52AE5"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Job purpose </w:t>
            </w:r>
          </w:p>
          <w:p w:rsidR="00681EE9" w:rsidRPr="00D04968" w:rsidRDefault="00681EE9" w:rsidP="00D52A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 w:eastAsia="en-US"/>
              </w:rPr>
            </w:pPr>
            <w:r w:rsidRPr="00F46184"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</w:rPr>
              <w:t xml:space="preserve">plications are invited for a 3-year </w:t>
            </w:r>
            <w:r w:rsidRPr="00F46184">
              <w:rPr>
                <w:rFonts w:ascii="Arial" w:hAnsi="Arial" w:cs="Arial"/>
              </w:rPr>
              <w:t xml:space="preserve">postdoctoral Research </w:t>
            </w:r>
            <w:proofErr w:type="gramStart"/>
            <w:r w:rsidR="00983B77">
              <w:rPr>
                <w:rFonts w:ascii="Arial" w:hAnsi="Arial" w:cs="Arial"/>
              </w:rPr>
              <w:t xml:space="preserve">Associate </w:t>
            </w:r>
            <w:r w:rsidRPr="00F46184">
              <w:rPr>
                <w:rFonts w:ascii="Arial" w:hAnsi="Arial" w:cs="Arial"/>
              </w:rPr>
              <w:t xml:space="preserve"> position</w:t>
            </w:r>
            <w:proofErr w:type="gramEnd"/>
            <w:r>
              <w:rPr>
                <w:rFonts w:ascii="Arial" w:hAnsi="Arial" w:cs="Arial"/>
              </w:rPr>
              <w:t xml:space="preserve"> at </w:t>
            </w:r>
            <w:proofErr w:type="spellStart"/>
            <w:r>
              <w:rPr>
                <w:rFonts w:ascii="Arial" w:hAnsi="Arial" w:cs="Arial"/>
              </w:rPr>
              <w:t>Prob</w:t>
            </w:r>
            <w:proofErr w:type="spellEnd"/>
            <w:r>
              <w:rPr>
                <w:rFonts w:ascii="Arial" w:hAnsi="Arial" w:cs="Arial"/>
              </w:rPr>
              <w:t>-L@B</w:t>
            </w:r>
            <w:r w:rsidRPr="00F46184">
              <w:rPr>
                <w:rFonts w:ascii="Arial" w:hAnsi="Arial" w:cs="Arial"/>
              </w:rPr>
              <w:t xml:space="preserve"> in the Department of Mathematical Sc</w:t>
            </w:r>
            <w:r>
              <w:rPr>
                <w:rFonts w:ascii="Arial" w:hAnsi="Arial" w:cs="Arial"/>
              </w:rPr>
              <w:t xml:space="preserve">iences at the University of Bath. The post-holder will work under the supervision of Professor Andreas </w:t>
            </w:r>
            <w:proofErr w:type="spellStart"/>
            <w:r>
              <w:rPr>
                <w:rFonts w:ascii="Arial" w:hAnsi="Arial" w:cs="Arial"/>
              </w:rPr>
              <w:t>Kyprianou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  <w:r>
              <w:rPr>
                <w:rFonts w:ascii="Arial" w:hAnsi="Arial" w:cs="Arial"/>
              </w:rPr>
              <w:t xml:space="preserve"> Simon Harris and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  <w:r>
              <w:rPr>
                <w:rFonts w:ascii="Arial" w:hAnsi="Arial" w:cs="Arial"/>
              </w:rPr>
              <w:t xml:space="preserve"> Alex Cox and alongside a PhD student working on related material</w:t>
            </w:r>
            <w:r w:rsidRPr="00F46184">
              <w:rPr>
                <w:rFonts w:ascii="Arial" w:hAnsi="Arial" w:cs="Arial"/>
              </w:rPr>
              <w:t>. The successful applicant will t</w:t>
            </w:r>
            <w:r>
              <w:rPr>
                <w:rFonts w:ascii="Arial" w:hAnsi="Arial" w:cs="Arial"/>
              </w:rPr>
              <w:t>ake up the p</w:t>
            </w:r>
            <w:r w:rsidRPr="004F42D8">
              <w:rPr>
                <w:rFonts w:ascii="Arial" w:hAnsi="Arial" w:cs="Arial"/>
              </w:rPr>
              <w:t>ost no earlier than 1</w:t>
            </w:r>
            <w:r w:rsidRPr="004F42D8">
              <w:rPr>
                <w:rFonts w:ascii="Arial" w:hAnsi="Arial" w:cs="Arial"/>
                <w:vertAlign w:val="superscript"/>
              </w:rPr>
              <w:t>st</w:t>
            </w:r>
            <w:r w:rsidRPr="004F42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March </w:t>
            </w:r>
            <w:r w:rsidRPr="004F42D8">
              <w:rPr>
                <w:rFonts w:ascii="Arial" w:hAnsi="Arial" w:cs="Arial"/>
              </w:rPr>
              <w:t>2017.</w:t>
            </w:r>
            <w:r>
              <w:rPr>
                <w:rFonts w:ascii="Arial" w:hAnsi="Arial" w:cs="Arial"/>
              </w:rPr>
              <w:t xml:space="preserve"> (a later start date is negotiable)</w:t>
            </w:r>
            <w:r w:rsidRPr="004F42D8">
              <w:rPr>
                <w:rFonts w:ascii="Arial" w:hAnsi="Arial" w:cs="Arial"/>
              </w:rPr>
              <w:t xml:space="preserve"> The position is funded by the EPSRC project "</w:t>
            </w:r>
            <w:r w:rsidRPr="008100BC">
              <w:rPr>
                <w:rFonts w:ascii="Arial" w:hAnsi="Arial" w:cs="Arial"/>
                <w:b/>
                <w:lang w:val="en-US" w:eastAsia="en-US"/>
              </w:rPr>
              <w:t>Stochastic analysis of the neutron transport equation and applications to nuclear safety</w:t>
            </w:r>
            <w:r w:rsidRPr="004F42D8">
              <w:rPr>
                <w:rFonts w:ascii="Arial" w:hAnsi="Arial" w:cs="Arial"/>
              </w:rPr>
              <w:t xml:space="preserve">". </w:t>
            </w:r>
            <w:r w:rsidRPr="004F42D8">
              <w:rPr>
                <w:rFonts w:ascii="Arial" w:hAnsi="Arial" w:cs="Arial"/>
                <w:color w:val="262626"/>
                <w:lang w:val="en-US" w:eastAsia="en-US"/>
              </w:rPr>
              <w:t xml:space="preserve">You will contribute to a broad </w:t>
            </w:r>
            <w:proofErr w:type="spellStart"/>
            <w:r w:rsidRPr="004F42D8">
              <w:rPr>
                <w:rFonts w:ascii="Arial" w:hAnsi="Arial" w:cs="Arial"/>
                <w:color w:val="262626"/>
                <w:lang w:val="en-US" w:eastAsia="en-US"/>
              </w:rPr>
              <w:t>programme</w:t>
            </w:r>
            <w:proofErr w:type="spellEnd"/>
            <w:r w:rsidRPr="004F42D8">
              <w:rPr>
                <w:rFonts w:ascii="Arial" w:hAnsi="Arial" w:cs="Arial"/>
                <w:color w:val="262626"/>
                <w:lang w:val="en-US" w:eastAsia="en-US"/>
              </w:rPr>
              <w:t xml:space="preserve"> of work looking at the fundamental mathematical properties of</w:t>
            </w:r>
            <w:r>
              <w:rPr>
                <w:rFonts w:ascii="Arial" w:hAnsi="Arial" w:cs="Arial"/>
                <w:color w:val="262626"/>
                <w:lang w:val="en-US" w:eastAsia="en-US"/>
              </w:rPr>
              <w:t xml:space="preserve"> the neutron transport equation by considering its relationship with a specific class of Markov branching particle processes that describes the underlying fission process. In particular, one of the main objectives is to understand the spectral properties of the neutron transport </w:t>
            </w:r>
            <w:r w:rsidRPr="00D04968">
              <w:rPr>
                <w:rFonts w:ascii="Arial" w:hAnsi="Arial" w:cs="Arial"/>
                <w:color w:val="262626"/>
                <w:lang w:val="en-US" w:eastAsia="en-US"/>
              </w:rPr>
              <w:t>equation and how the underlying branching process can motivate new Mo</w:t>
            </w:r>
            <w:r>
              <w:rPr>
                <w:rFonts w:ascii="Arial" w:hAnsi="Arial" w:cs="Arial"/>
                <w:color w:val="262626"/>
                <w:lang w:val="en-US" w:eastAsia="en-US"/>
              </w:rPr>
              <w:t>nte-Carlo simulation algorithms</w:t>
            </w:r>
            <w:r w:rsidRPr="00D04968">
              <w:rPr>
                <w:rFonts w:ascii="Arial" w:hAnsi="Arial" w:cs="Arial"/>
                <w:color w:val="262626"/>
                <w:lang w:val="en-US" w:eastAsia="en-US"/>
              </w:rPr>
              <w:t xml:space="preserve"> which have direct applicability in the nuclear safety industry. </w:t>
            </w:r>
            <w:r w:rsidRPr="00D04968">
              <w:rPr>
                <w:rFonts w:ascii="Arial" w:hAnsi="Arial" w:cs="Arial"/>
              </w:rPr>
              <w:t>Stochastic numerical analysis of these algorithms will be needed and the scope of the project incorporates numerical work, including performing large-scale simulations and comparing their efficiency with existing simulation techniques</w:t>
            </w:r>
            <w:r w:rsidRPr="00D04968">
              <w:rPr>
                <w:rFonts w:ascii="Arial" w:hAnsi="Arial" w:cs="Arial"/>
                <w:color w:val="262626"/>
                <w:lang w:val="en-US" w:eastAsia="en-US"/>
              </w:rPr>
              <w:t xml:space="preserve">. In this respect, the project will be carried out in consultation with industrial partner </w:t>
            </w:r>
            <w:proofErr w:type="spellStart"/>
            <w:r w:rsidRPr="00D04968">
              <w:rPr>
                <w:rFonts w:ascii="Arial" w:hAnsi="Arial" w:cs="Arial"/>
                <w:color w:val="262626"/>
                <w:lang w:val="en-US" w:eastAsia="en-US"/>
              </w:rPr>
              <w:t>Amec</w:t>
            </w:r>
            <w:proofErr w:type="spellEnd"/>
            <w:r w:rsidRPr="00D04968">
              <w:rPr>
                <w:rFonts w:ascii="Arial" w:hAnsi="Arial" w:cs="Arial"/>
                <w:color w:val="262626"/>
                <w:lang w:val="en-US" w:eastAsia="en-US"/>
              </w:rPr>
              <w:t>-Foster-Wheeler.</w:t>
            </w:r>
            <w:r>
              <w:rPr>
                <w:rFonts w:ascii="Arial" w:hAnsi="Arial" w:cs="Arial"/>
                <w:color w:val="262626"/>
                <w:lang w:val="en-US" w:eastAsia="en-US"/>
              </w:rPr>
              <w:t xml:space="preserve"> There will also be space within the appointment for you to develop your own research agenda.</w:t>
            </w:r>
          </w:p>
          <w:p w:rsidR="00681EE9" w:rsidRPr="007F5819" w:rsidRDefault="00681EE9" w:rsidP="00D52AE5">
            <w:pPr>
              <w:rPr>
                <w:rFonts w:ascii="Arial" w:hAnsi="Arial" w:cs="Arial"/>
                <w:color w:val="262626"/>
                <w:lang w:val="en-US" w:eastAsia="en-US"/>
              </w:rPr>
            </w:pPr>
            <w:r>
              <w:rPr>
                <w:rFonts w:ascii="Arial" w:hAnsi="Arial" w:cs="Arial"/>
                <w:color w:val="262626"/>
                <w:lang w:val="en-US" w:eastAsia="en-US"/>
              </w:rPr>
              <w:t xml:space="preserve">Candidates must have a PhD (or equivalent qualification) in Probability Theory and demonstrable experience of research in a related field to the theme of the postdoc position. You will join </w:t>
            </w:r>
            <w:proofErr w:type="spellStart"/>
            <w:r>
              <w:rPr>
                <w:rFonts w:ascii="Arial" w:hAnsi="Arial" w:cs="Arial"/>
                <w:color w:val="262626"/>
                <w:lang w:val="en-US" w:eastAsia="en-US"/>
              </w:rPr>
              <w:t>Prob</w:t>
            </w:r>
            <w:proofErr w:type="spellEnd"/>
            <w:r>
              <w:rPr>
                <w:rFonts w:ascii="Arial" w:hAnsi="Arial" w:cs="Arial"/>
                <w:color w:val="262626"/>
                <w:lang w:val="en-US" w:eastAsia="en-US"/>
              </w:rPr>
              <w:t xml:space="preserve">-L@B, one of the UK’s leading and most vibrant </w:t>
            </w:r>
            <w:proofErr w:type="spellStart"/>
            <w:r>
              <w:rPr>
                <w:rFonts w:ascii="Arial" w:hAnsi="Arial" w:cs="Arial"/>
                <w:color w:val="262626"/>
                <w:lang w:val="en-US" w:eastAsia="en-US"/>
              </w:rPr>
              <w:t>centres</w:t>
            </w:r>
            <w:proofErr w:type="spellEnd"/>
            <w:r>
              <w:rPr>
                <w:rFonts w:ascii="Arial" w:hAnsi="Arial" w:cs="Arial"/>
                <w:color w:val="262626"/>
                <w:lang w:val="en-US" w:eastAsia="en-US"/>
              </w:rPr>
              <w:t xml:space="preserve"> of probability consisting of 10 faculty, five postdocs (excluding this position) and around 20 PhD students.</w:t>
            </w:r>
            <w:r>
              <w:t xml:space="preserve"> </w:t>
            </w:r>
            <w:r>
              <w:rPr>
                <w:rFonts w:ascii="Arial" w:hAnsi="Arial" w:cs="Arial"/>
                <w:color w:val="262626"/>
                <w:lang w:val="en-US" w:eastAsia="en-US"/>
              </w:rPr>
              <w:t xml:space="preserve">The post-holder will be a highly motivated individual who will also contribute well to </w:t>
            </w:r>
            <w:proofErr w:type="spellStart"/>
            <w:r>
              <w:rPr>
                <w:rFonts w:ascii="Arial" w:hAnsi="Arial" w:cs="Arial"/>
                <w:color w:val="262626"/>
                <w:lang w:val="en-US" w:eastAsia="en-US"/>
              </w:rPr>
              <w:t>Prob</w:t>
            </w:r>
            <w:proofErr w:type="spellEnd"/>
            <w:r>
              <w:rPr>
                <w:rFonts w:ascii="Arial" w:hAnsi="Arial" w:cs="Arial"/>
                <w:color w:val="262626"/>
                <w:lang w:val="en-US" w:eastAsia="en-US"/>
              </w:rPr>
              <w:t xml:space="preserve">-L@B and the Department of Mathematical Sciences as a whole. In particular, it is expected that the candidate will play an active role in helping to sustain collective research activities within </w:t>
            </w:r>
            <w:proofErr w:type="spellStart"/>
            <w:r>
              <w:rPr>
                <w:rFonts w:ascii="Arial" w:hAnsi="Arial" w:cs="Arial"/>
                <w:color w:val="262626"/>
                <w:lang w:val="en-US" w:eastAsia="en-US"/>
              </w:rPr>
              <w:t>Prob</w:t>
            </w:r>
            <w:proofErr w:type="spellEnd"/>
            <w:r>
              <w:rPr>
                <w:rFonts w:ascii="Arial" w:hAnsi="Arial" w:cs="Arial"/>
                <w:color w:val="262626"/>
                <w:lang w:val="en-US" w:eastAsia="en-US"/>
              </w:rPr>
              <w:t>-L@B (reading groups, workshops, seminars etc.).</w:t>
            </w:r>
          </w:p>
        </w:tc>
      </w:tr>
    </w:tbl>
    <w:p w:rsidR="00681EE9" w:rsidRDefault="00681EE9" w:rsidP="00681EE9">
      <w:pPr>
        <w:rPr>
          <w:rFonts w:ascii="Arial" w:hAnsi="Arial" w:cs="Arial"/>
          <w:sz w:val="22"/>
          <w:szCs w:val="22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44"/>
      </w:tblGrid>
      <w:tr w:rsidR="00681EE9" w:rsidTr="00D52AE5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Source and nature of management provided </w:t>
            </w:r>
          </w:p>
        </w:tc>
      </w:tr>
      <w:tr w:rsidR="00681EE9" w:rsidTr="00D52AE5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E9" w:rsidRPr="00B62CB2" w:rsidRDefault="00681EE9" w:rsidP="00D52A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2CB2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ou will report to the project Principal Investigator</w:t>
            </w:r>
            <w:r w:rsidRPr="00B62CB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Kyprianou</w:t>
            </w:r>
            <w:proofErr w:type="spellEnd"/>
            <w:r w:rsidRPr="00B62CB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Co-Investigators Alex Cox and Simon Harris as well as</w:t>
            </w:r>
            <w:r w:rsidRPr="00B62CB2">
              <w:rPr>
                <w:rFonts w:ascii="Arial" w:hAnsi="Arial" w:cs="Arial"/>
                <w:sz w:val="22"/>
                <w:szCs w:val="22"/>
              </w:rPr>
              <w:t xml:space="preserve"> the Head of Department.</w:t>
            </w:r>
          </w:p>
        </w:tc>
      </w:tr>
    </w:tbl>
    <w:p w:rsidR="00681EE9" w:rsidRDefault="00681EE9" w:rsidP="00681EE9">
      <w:pPr>
        <w:rPr>
          <w:rFonts w:ascii="Arial" w:hAnsi="Arial" w:cs="Arial"/>
          <w:sz w:val="22"/>
          <w:szCs w:val="22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44"/>
      </w:tblGrid>
      <w:tr w:rsidR="00681EE9" w:rsidTr="00D52AE5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Staff management responsibility</w:t>
            </w:r>
          </w:p>
        </w:tc>
      </w:tr>
      <w:tr w:rsidR="00681EE9" w:rsidTr="00D52AE5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None. </w:t>
            </w:r>
          </w:p>
        </w:tc>
      </w:tr>
    </w:tbl>
    <w:p w:rsidR="00681EE9" w:rsidRDefault="00681EE9" w:rsidP="00681EE9">
      <w:pPr>
        <w:rPr>
          <w:rFonts w:ascii="Arial" w:hAnsi="Arial" w:cs="Arial"/>
          <w:sz w:val="22"/>
          <w:szCs w:val="22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44"/>
      </w:tblGrid>
      <w:tr w:rsidR="00681EE9" w:rsidTr="00D52AE5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</w:tc>
      </w:tr>
      <w:tr w:rsidR="00681EE9" w:rsidTr="00D52AE5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spacing w:before="60" w:after="60"/>
            </w:pPr>
            <w:r>
              <w:rPr>
                <w:rFonts w:ascii="Arial" w:hAnsi="Arial" w:cs="Arial"/>
                <w:i/>
                <w:sz w:val="22"/>
                <w:szCs w:val="22"/>
              </w:rPr>
              <w:t>None.</w:t>
            </w:r>
          </w:p>
        </w:tc>
      </w:tr>
    </w:tbl>
    <w:p w:rsidR="00681EE9" w:rsidRDefault="00681EE9" w:rsidP="00681EE9">
      <w:pPr>
        <w:rPr>
          <w:rFonts w:ascii="Arial" w:hAnsi="Arial" w:cs="Arial"/>
          <w:b/>
          <w:sz w:val="28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7797"/>
      </w:tblGrid>
      <w:tr w:rsidR="00681EE9" w:rsidTr="00D52AE5"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Main duties and responsibilities </w:t>
            </w:r>
          </w:p>
        </w:tc>
      </w:tr>
      <w:tr w:rsidR="00681EE9" w:rsidTr="00D52AE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E9" w:rsidRDefault="00681EE9" w:rsidP="00681EE9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You will </w:t>
            </w:r>
            <w:r w:rsidRPr="00321215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321215">
              <w:rPr>
                <w:rFonts w:ascii="Arial" w:hAnsi="Arial" w:cs="Arial"/>
                <w:sz w:val="22"/>
                <w:szCs w:val="22"/>
              </w:rPr>
              <w:t>onduct individual and collaborative</w:t>
            </w:r>
            <w:r w:rsidRPr="00321215">
              <w:rPr>
                <w:rFonts w:ascii="Arial" w:hAnsi="Arial" w:cs="Arial"/>
                <w:bCs/>
                <w:sz w:val="22"/>
                <w:szCs w:val="22"/>
              </w:rPr>
              <w:t xml:space="preserve"> research of high quality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 probability theory</w:t>
            </w:r>
            <w:r w:rsidRPr="003212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t xml:space="preserve"> </w:t>
            </w:r>
          </w:p>
          <w:p w:rsidR="00681EE9" w:rsidRPr="00321215" w:rsidRDefault="00681EE9" w:rsidP="00681E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21215">
              <w:rPr>
                <w:rFonts w:ascii="Arial" w:hAnsi="Arial" w:cs="Arial"/>
                <w:sz w:val="22"/>
                <w:szCs w:val="22"/>
              </w:rPr>
              <w:t xml:space="preserve">You will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21215">
              <w:rPr>
                <w:rFonts w:ascii="Arial" w:hAnsi="Arial" w:cs="Arial"/>
                <w:sz w:val="22"/>
                <w:szCs w:val="22"/>
              </w:rPr>
              <w:t xml:space="preserve">ontinually update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321215">
              <w:rPr>
                <w:rFonts w:ascii="Arial" w:hAnsi="Arial" w:cs="Arial"/>
                <w:sz w:val="22"/>
                <w:szCs w:val="22"/>
              </w:rPr>
              <w:t xml:space="preserve">knowledge and understanding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wider area of the project </w:t>
            </w:r>
            <w:r w:rsidRPr="00321215">
              <w:rPr>
                <w:rFonts w:ascii="Arial" w:hAnsi="Arial" w:cs="Arial"/>
                <w:sz w:val="22"/>
                <w:szCs w:val="22"/>
              </w:rPr>
              <w:t>to inform research activity.</w:t>
            </w:r>
          </w:p>
          <w:p w:rsidR="00681EE9" w:rsidRPr="00321215" w:rsidRDefault="00681EE9" w:rsidP="00681EE9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You will publish in high quality, peer reviewed journals appropriate to the discipline. </w:t>
            </w:r>
          </w:p>
          <w:p w:rsidR="00681EE9" w:rsidRPr="00321215" w:rsidRDefault="00681EE9" w:rsidP="00681EE9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You will disseminate the research at national and international conferences, e.g. by presentations.</w:t>
            </w:r>
          </w:p>
          <w:p w:rsidR="00681EE9" w:rsidRPr="00321215" w:rsidRDefault="00681EE9" w:rsidP="00681EE9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You will assist the Principle Investigator and Co-Investigators in preparing a pathway for impact of this research. </w:t>
            </w:r>
          </w:p>
          <w:p w:rsidR="00681EE9" w:rsidRDefault="00681EE9" w:rsidP="00681E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You will </w:t>
            </w:r>
            <w:r w:rsidRPr="00321215">
              <w:rPr>
                <w:rFonts w:ascii="Arial" w:hAnsi="Arial" w:cs="Arial"/>
                <w:sz w:val="22"/>
                <w:szCs w:val="22"/>
              </w:rPr>
              <w:t xml:space="preserve">assist </w:t>
            </w:r>
            <w:r>
              <w:rPr>
                <w:rFonts w:ascii="Arial" w:hAnsi="Arial" w:cs="Arial"/>
                <w:sz w:val="22"/>
                <w:szCs w:val="22"/>
              </w:rPr>
              <w:t>the Principle Investigator</w:t>
            </w:r>
            <w:r w:rsidRPr="00321215">
              <w:rPr>
                <w:rFonts w:ascii="Arial" w:hAnsi="Arial" w:cs="Arial"/>
                <w:sz w:val="22"/>
                <w:szCs w:val="22"/>
              </w:rPr>
              <w:t xml:space="preserve"> with project management: e.g. organising meetings and corresponding/discussing with partners.</w:t>
            </w:r>
          </w:p>
          <w:p w:rsidR="00681EE9" w:rsidRPr="00321215" w:rsidRDefault="00681EE9" w:rsidP="00681E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21215">
              <w:rPr>
                <w:rFonts w:ascii="Arial" w:hAnsi="Arial" w:cs="Arial"/>
                <w:sz w:val="22"/>
                <w:szCs w:val="22"/>
              </w:rPr>
              <w:t xml:space="preserve">You will identify sources of funding and contribute to securing of funds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project related </w:t>
            </w:r>
            <w:r w:rsidRPr="00321215">
              <w:rPr>
                <w:rFonts w:ascii="Arial" w:hAnsi="Arial" w:cs="Arial"/>
                <w:sz w:val="22"/>
                <w:szCs w:val="22"/>
              </w:rPr>
              <w:t>research.</w:t>
            </w:r>
          </w:p>
          <w:p w:rsidR="00681EE9" w:rsidRPr="00321215" w:rsidRDefault="00681EE9" w:rsidP="00681E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21215">
              <w:rPr>
                <w:rFonts w:ascii="Arial" w:hAnsi="Arial" w:cs="Arial"/>
                <w:sz w:val="22"/>
                <w:szCs w:val="22"/>
              </w:rPr>
              <w:t xml:space="preserve">You will develop research objectives and proposals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321215">
              <w:rPr>
                <w:rFonts w:ascii="Arial" w:hAnsi="Arial" w:cs="Arial"/>
                <w:sz w:val="22"/>
                <w:szCs w:val="22"/>
              </w:rPr>
              <w:t>own or joint research, with assistance of a mentor if required.</w:t>
            </w:r>
          </w:p>
        </w:tc>
      </w:tr>
      <w:tr w:rsidR="00681EE9" w:rsidTr="00D52AE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EE9" w:rsidRDefault="00681EE9" w:rsidP="00D52AE5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Others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E9" w:rsidRPr="009E36C5" w:rsidRDefault="00681EE9" w:rsidP="00681EE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commensurate with the grade of appointment as reasonably required by your line manager. </w:t>
            </w:r>
          </w:p>
        </w:tc>
      </w:tr>
    </w:tbl>
    <w:p w:rsidR="00681EE9" w:rsidRDefault="00681EE9" w:rsidP="00681EE9">
      <w:pPr>
        <w:pStyle w:val="NormalWeb"/>
        <w:spacing w:before="0" w:after="60"/>
        <w:rPr>
          <w:rFonts w:ascii="Arial" w:hAnsi="Arial" w:cs="Arial"/>
          <w:b/>
          <w:bCs/>
        </w:rPr>
      </w:pPr>
    </w:p>
    <w:p w:rsidR="00681EE9" w:rsidRDefault="00681EE9" w:rsidP="00681EE9">
      <w:pPr>
        <w:pStyle w:val="NormalWeb"/>
        <w:spacing w:before="0" w:after="60"/>
        <w:rPr>
          <w:rFonts w:ascii="Arial" w:hAnsi="Arial" w:cs="Arial"/>
          <w:b/>
          <w:bCs/>
        </w:rPr>
      </w:pPr>
    </w:p>
    <w:p w:rsidR="00681EE9" w:rsidRDefault="00681EE9" w:rsidP="00681EE9">
      <w:pPr>
        <w:pStyle w:val="NormalWeb"/>
        <w:spacing w:before="0" w:after="60"/>
        <w:rPr>
          <w:rFonts w:ascii="Arial" w:hAnsi="Arial" w:cs="Arial"/>
          <w:b/>
          <w:bCs/>
        </w:rPr>
      </w:pPr>
    </w:p>
    <w:p w:rsidR="00681EE9" w:rsidRDefault="00681EE9" w:rsidP="00681EE9">
      <w:pPr>
        <w:pStyle w:val="NormalWeb"/>
        <w:spacing w:before="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</w:t>
      </w:r>
      <w:bookmarkStart w:id="1" w:name="Personspectemplate"/>
      <w:bookmarkEnd w:id="1"/>
    </w:p>
    <w:p w:rsidR="00681EE9" w:rsidRDefault="00681EE9" w:rsidP="00681EE9">
      <w:pPr>
        <w:pStyle w:val="NormalWeb"/>
        <w:spacing w:before="0" w:after="6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6"/>
        <w:gridCol w:w="1134"/>
        <w:gridCol w:w="1134"/>
        <w:gridCol w:w="709"/>
        <w:gridCol w:w="709"/>
        <w:gridCol w:w="767"/>
      </w:tblGrid>
      <w:tr w:rsidR="00681EE9" w:rsidTr="00D52AE5">
        <w:tc>
          <w:tcPr>
            <w:tcW w:w="4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EECE1"/>
            <w:vAlign w:val="center"/>
          </w:tcPr>
          <w:p w:rsidR="00681EE9" w:rsidRDefault="00681EE9" w:rsidP="00D52AE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EECE1"/>
            <w:vAlign w:val="center"/>
          </w:tcPr>
          <w:p w:rsidR="00681EE9" w:rsidRDefault="00681EE9" w:rsidP="00D52AE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EECE1"/>
            <w:vAlign w:val="center"/>
          </w:tcPr>
          <w:p w:rsidR="00681EE9" w:rsidRDefault="00681EE9" w:rsidP="00D52AE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8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EECE1"/>
            <w:vAlign w:val="center"/>
          </w:tcPr>
          <w:p w:rsidR="00681EE9" w:rsidRDefault="00681EE9" w:rsidP="00D52A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Assessed by</w:t>
            </w:r>
          </w:p>
        </w:tc>
      </w:tr>
      <w:tr w:rsidR="00681EE9" w:rsidTr="00D52AE5">
        <w:tc>
          <w:tcPr>
            <w:tcW w:w="4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81EE9" w:rsidRDefault="00681EE9" w:rsidP="00D52AE5">
            <w:pPr>
              <w:pStyle w:val="NormalWeb"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81EE9" w:rsidRDefault="00681EE9" w:rsidP="00D52A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81EE9" w:rsidRDefault="00681EE9" w:rsidP="00D52AE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81EE9" w:rsidRDefault="00681EE9" w:rsidP="00D52AE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A/F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81EE9" w:rsidRDefault="00681EE9" w:rsidP="00D52AE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81EE9" w:rsidRDefault="00681EE9" w:rsidP="00D52AE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</w:tc>
      </w:tr>
      <w:bookmarkEnd w:id="2"/>
      <w:tr w:rsidR="00681EE9" w:rsidTr="00D52AE5">
        <w:trPr>
          <w:trHeight w:val="2031"/>
        </w:trPr>
        <w:tc>
          <w:tcPr>
            <w:tcW w:w="4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or equivalent in probability.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EE9" w:rsidTr="00D52AE5">
        <w:trPr>
          <w:trHeight w:val="4173"/>
        </w:trPr>
        <w:tc>
          <w:tcPr>
            <w:tcW w:w="4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Experience/Knowledge</w:t>
            </w:r>
          </w:p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for excellence in research</w:t>
            </w:r>
          </w:p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Published papers in high quality, peer reviewed journals</w:t>
            </w:r>
          </w:p>
          <w:p w:rsidR="00681EE9" w:rsidRDefault="00681EE9" w:rsidP="00D52A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Engagement with relevant national and international research communities</w:t>
            </w:r>
          </w:p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with stochastic simulation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EE9" w:rsidTr="00D52AE5">
        <w:trPr>
          <w:trHeight w:val="555"/>
        </w:trPr>
        <w:tc>
          <w:tcPr>
            <w:tcW w:w="4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</w:p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presentation and communication skills </w:t>
            </w:r>
          </w:p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81EE9" w:rsidRPr="002C41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Leadership, organisational and administrative skills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EE9" w:rsidTr="00D52AE5">
        <w:trPr>
          <w:trHeight w:val="381"/>
        </w:trPr>
        <w:tc>
          <w:tcPr>
            <w:tcW w:w="4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Attributes</w:t>
            </w:r>
          </w:p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81EE9" w:rsidRPr="002C41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Versatility, innovation and the ability to work in multidisciplinary teams</w:t>
            </w:r>
          </w:p>
          <w:p w:rsidR="00681EE9" w:rsidRDefault="00681EE9" w:rsidP="00D52AE5">
            <w:pPr>
              <w:pStyle w:val="NormalWeb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collaborative and interdisciplinary research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81EE9" w:rsidRDefault="00681EE9" w:rsidP="00D52A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EE9" w:rsidRDefault="00681EE9" w:rsidP="00D5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EE9" w:rsidRDefault="00681EE9" w:rsidP="00681EE9">
      <w:pPr>
        <w:pStyle w:val="NormalWeb"/>
        <w:spacing w:before="0" w:after="0"/>
        <w:rPr>
          <w:b/>
          <w:color w:val="000000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Code: </w:t>
      </w:r>
      <w:r>
        <w:rPr>
          <w:rFonts w:ascii="Arial" w:hAnsi="Arial" w:cs="Arial"/>
          <w:bCs/>
          <w:sz w:val="22"/>
          <w:szCs w:val="22"/>
        </w:rPr>
        <w:t xml:space="preserve">A/F - Application form, I - Interview, T – </w:t>
      </w:r>
      <w:proofErr w:type="gramStart"/>
      <w:r>
        <w:rPr>
          <w:rFonts w:ascii="Arial" w:hAnsi="Arial" w:cs="Arial"/>
          <w:bCs/>
          <w:sz w:val="22"/>
          <w:szCs w:val="22"/>
        </w:rPr>
        <w:t>Test  (</w:t>
      </w:r>
      <w:proofErr w:type="gramEnd"/>
      <w:r>
        <w:rPr>
          <w:rFonts w:ascii="Arial" w:hAnsi="Arial" w:cs="Arial"/>
          <w:bCs/>
          <w:sz w:val="22"/>
          <w:szCs w:val="22"/>
        </w:rPr>
        <w:t>presentation)</w:t>
      </w:r>
    </w:p>
    <w:p w:rsidR="00681EE9" w:rsidRDefault="00681EE9" w:rsidP="00681EE9">
      <w:pPr>
        <w:rPr>
          <w:b/>
          <w:color w:val="000000"/>
        </w:rPr>
      </w:pPr>
    </w:p>
    <w:p w:rsidR="00681EE9" w:rsidRDefault="00681EE9" w:rsidP="00681EE9">
      <w:pPr>
        <w:rPr>
          <w:b/>
          <w:color w:val="000000"/>
        </w:rPr>
      </w:pPr>
    </w:p>
    <w:p w:rsidR="00681EE9" w:rsidRDefault="00681EE9" w:rsidP="00681EE9"/>
    <w:p w:rsidR="00F62196" w:rsidRDefault="00F62196"/>
    <w:sectPr w:rsidR="00F6219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D25F3"/>
    <w:multiLevelType w:val="hybridMultilevel"/>
    <w:tmpl w:val="6A74697E"/>
    <w:lvl w:ilvl="0" w:tplc="991EB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E9"/>
    <w:rsid w:val="00681EE9"/>
    <w:rsid w:val="0094175B"/>
    <w:rsid w:val="00983B77"/>
    <w:rsid w:val="00F6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5BC80-5DC9-44BF-B8D2-90C0170E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1EE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E2E1B788.dotm</Template>
  <TotalTime>2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Flenley-Pond</dc:creator>
  <cp:keywords/>
  <dc:description/>
  <cp:lastModifiedBy>Samuel Flenley-Pond</cp:lastModifiedBy>
  <cp:revision>3</cp:revision>
  <dcterms:created xsi:type="dcterms:W3CDTF">2016-10-19T16:11:00Z</dcterms:created>
  <dcterms:modified xsi:type="dcterms:W3CDTF">2016-10-19T16:20:00Z</dcterms:modified>
</cp:coreProperties>
</file>