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FF1E" w14:textId="0218E9C7" w:rsidR="00296D92" w:rsidRDefault="00296D92" w:rsidP="00296D92">
      <w:r w:rsidRPr="0001560E">
        <w:t>Thank you for considering hosting a Bath Insights intern. These internships provide valuable real-world experience for students whilst bringing fresh perspectives and additional capacity to your team</w:t>
      </w:r>
    </w:p>
    <w:p w14:paraId="3159F3DF" w14:textId="77777777" w:rsidR="00296D92" w:rsidRDefault="00296D92" w:rsidP="00296D92">
      <w:r>
        <w:t xml:space="preserve">If your budget allows, consider hosting two internship positions to cover multiple themes and provide peer support for the interns. If you </w:t>
      </w:r>
      <w:proofErr w:type="gramStart"/>
      <w:r>
        <w:t>are able to</w:t>
      </w:r>
      <w:proofErr w:type="gramEnd"/>
      <w:r>
        <w:t xml:space="preserve"> host more than one intern, please complete one of these briefs for each internship if the projects and outcomes are different.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114CAB" w14:paraId="46405F0F" w14:textId="77777777" w:rsidTr="00114CAB">
        <w:tc>
          <w:tcPr>
            <w:tcW w:w="5382" w:type="dxa"/>
          </w:tcPr>
          <w:p w14:paraId="69D5416A" w14:textId="3557CA48" w:rsidR="00114CAB" w:rsidRPr="006A2D26" w:rsidRDefault="00114CAB" w:rsidP="00296D92">
            <w:pPr>
              <w:rPr>
                <w:b/>
                <w:bCs/>
              </w:rPr>
            </w:pPr>
            <w:r w:rsidRPr="006A2D26">
              <w:rPr>
                <w:b/>
                <w:bCs/>
              </w:rPr>
              <w:t>Your name</w:t>
            </w:r>
          </w:p>
        </w:tc>
        <w:tc>
          <w:tcPr>
            <w:tcW w:w="3634" w:type="dxa"/>
          </w:tcPr>
          <w:p w14:paraId="353B7D3D" w14:textId="77777777" w:rsidR="00114CAB" w:rsidRDefault="00114CAB" w:rsidP="00296D92"/>
        </w:tc>
      </w:tr>
      <w:tr w:rsidR="00114CAB" w14:paraId="0D4E091C" w14:textId="77777777" w:rsidTr="00114CAB">
        <w:tc>
          <w:tcPr>
            <w:tcW w:w="5382" w:type="dxa"/>
          </w:tcPr>
          <w:p w14:paraId="2E8B8A62" w14:textId="3EF361A0" w:rsidR="00114CAB" w:rsidRPr="006A2D26" w:rsidRDefault="00114CAB" w:rsidP="00296D92">
            <w:pPr>
              <w:rPr>
                <w:b/>
                <w:bCs/>
              </w:rPr>
            </w:pPr>
            <w:r w:rsidRPr="006A2D26">
              <w:rPr>
                <w:b/>
                <w:bCs/>
              </w:rPr>
              <w:t xml:space="preserve">Your department </w:t>
            </w:r>
          </w:p>
        </w:tc>
        <w:tc>
          <w:tcPr>
            <w:tcW w:w="3634" w:type="dxa"/>
          </w:tcPr>
          <w:p w14:paraId="3A489377" w14:textId="77777777" w:rsidR="00114CAB" w:rsidRDefault="00114CAB" w:rsidP="00296D92"/>
        </w:tc>
      </w:tr>
      <w:tr w:rsidR="00114CAB" w14:paraId="683586DF" w14:textId="77777777" w:rsidTr="00114CAB">
        <w:tc>
          <w:tcPr>
            <w:tcW w:w="5382" w:type="dxa"/>
          </w:tcPr>
          <w:p w14:paraId="05C03897" w14:textId="2C86C1E3" w:rsidR="00114CAB" w:rsidRPr="006A2D26" w:rsidRDefault="00114CAB" w:rsidP="00296D92">
            <w:pPr>
              <w:rPr>
                <w:b/>
                <w:bCs/>
              </w:rPr>
            </w:pPr>
            <w:r w:rsidRPr="006A2D26">
              <w:rPr>
                <w:b/>
                <w:bCs/>
              </w:rPr>
              <w:t>Who should be the lead contact for information about the programme (if it isn’t you)</w:t>
            </w:r>
          </w:p>
        </w:tc>
        <w:tc>
          <w:tcPr>
            <w:tcW w:w="3634" w:type="dxa"/>
          </w:tcPr>
          <w:p w14:paraId="3A479BEC" w14:textId="77777777" w:rsidR="00114CAB" w:rsidRDefault="00114CAB" w:rsidP="00296D92"/>
        </w:tc>
      </w:tr>
    </w:tbl>
    <w:p w14:paraId="0AE4045C" w14:textId="64A18898" w:rsidR="00114CAB" w:rsidRDefault="00114CAB" w:rsidP="00296D92"/>
    <w:p w14:paraId="62ED80E9" w14:textId="77777777" w:rsidR="00296D92" w:rsidRDefault="00296D92" w:rsidP="00296D92">
      <w:pPr>
        <w:pStyle w:val="Heading1"/>
      </w:pPr>
      <w:r w:rsidRPr="4966519F">
        <w:t xml:space="preserve">How many interns are you able to host?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296D92" w14:paraId="3F3B8CAA" w14:textId="77777777" w:rsidTr="00296D92">
        <w:sdt>
          <w:sdtPr>
            <w:rPr>
              <w:b/>
              <w:bCs/>
            </w:rPr>
            <w:id w:val="-107589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3F31887" w14:textId="4C2B46B1" w:rsidR="00296D92" w:rsidRDefault="00296D92" w:rsidP="00296D92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0000F174" w14:textId="21281854" w:rsidR="00296D92" w:rsidRPr="00296D92" w:rsidRDefault="00296D92" w:rsidP="00296D92">
            <w:r w:rsidRPr="00296D92">
              <w:t>One</w:t>
            </w:r>
          </w:p>
        </w:tc>
      </w:tr>
      <w:tr w:rsidR="00296D92" w14:paraId="5555F57B" w14:textId="77777777" w:rsidTr="00296D92">
        <w:sdt>
          <w:sdtPr>
            <w:rPr>
              <w:b/>
              <w:bCs/>
            </w:rPr>
            <w:id w:val="-39358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A901EF6" w14:textId="78822A57" w:rsidR="00296D92" w:rsidRDefault="00296D92" w:rsidP="00296D92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3600BCC0" w14:textId="7520179C" w:rsidR="00296D92" w:rsidRPr="00296D92" w:rsidRDefault="00296D92" w:rsidP="00296D92">
            <w:r>
              <w:t>Two, both working on this project</w:t>
            </w:r>
          </w:p>
        </w:tc>
      </w:tr>
      <w:tr w:rsidR="00296D92" w14:paraId="15B72851" w14:textId="77777777" w:rsidTr="00296D92">
        <w:sdt>
          <w:sdtPr>
            <w:rPr>
              <w:b/>
              <w:bCs/>
            </w:rPr>
            <w:id w:val="-109277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DB74074" w14:textId="12E3E583" w:rsidR="00296D92" w:rsidRDefault="00296D92" w:rsidP="00296D92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5A309B00" w14:textId="0572F965" w:rsidR="00296D92" w:rsidRPr="00296D92" w:rsidRDefault="00296D92" w:rsidP="00296D92">
            <w:r>
              <w:t>Two, working on different projects</w:t>
            </w:r>
          </w:p>
        </w:tc>
      </w:tr>
      <w:tr w:rsidR="00296D92" w14:paraId="00C7CE62" w14:textId="77777777" w:rsidTr="00296D92">
        <w:sdt>
          <w:sdtPr>
            <w:rPr>
              <w:b/>
              <w:bCs/>
            </w:rPr>
            <w:id w:val="-79051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E9272AF" w14:textId="25DF236D" w:rsidR="00296D92" w:rsidRDefault="00296D92" w:rsidP="00296D92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43467373" w14:textId="4915B6A0" w:rsidR="00296D92" w:rsidRPr="00296D92" w:rsidRDefault="00296D92" w:rsidP="00296D92">
            <w:r w:rsidRPr="00296D92">
              <w:t>More than two</w:t>
            </w:r>
          </w:p>
        </w:tc>
      </w:tr>
    </w:tbl>
    <w:p w14:paraId="62862307" w14:textId="77777777" w:rsidR="00296D92" w:rsidRDefault="00296D92" w:rsidP="00296D92">
      <w:pPr>
        <w:rPr>
          <w:b/>
          <w:bCs/>
        </w:rPr>
      </w:pPr>
    </w:p>
    <w:p w14:paraId="03D45D90" w14:textId="7A1A6AF5" w:rsidR="00296D92" w:rsidRDefault="00296D92" w:rsidP="00296D92">
      <w:pPr>
        <w:pStyle w:val="Heading1"/>
      </w:pPr>
      <w:r w:rsidRPr="4966519F">
        <w:t>Choose a project theme</w:t>
      </w:r>
    </w:p>
    <w:p w14:paraId="051619DC" w14:textId="77777777" w:rsidR="00296D92" w:rsidRDefault="00296D92" w:rsidP="00296D92">
      <w:r>
        <w:t>Your internship should follow one of these proposed project themes, to help categorise and align internship opportunities: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296D92" w14:paraId="3014B683" w14:textId="77777777" w:rsidTr="00AE2904">
        <w:sdt>
          <w:sdtPr>
            <w:rPr>
              <w:b/>
              <w:bCs/>
            </w:rPr>
            <w:id w:val="13553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FC36256" w14:textId="77777777" w:rsidR="00296D92" w:rsidRDefault="00296D92" w:rsidP="00AE2904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45A0421A" w14:textId="29B592B2" w:rsidR="00296D92" w:rsidRPr="00296D92" w:rsidRDefault="00296D92" w:rsidP="00296D92">
            <w:r>
              <w:t xml:space="preserve">Data: </w:t>
            </w:r>
            <w:r w:rsidRPr="00296D92">
              <w:rPr>
                <w:rFonts w:ascii="Aptos" w:eastAsia="Aptos" w:hAnsi="Aptos" w:cs="Aptos"/>
              </w:rPr>
              <w:t>dashboards, analysis, data cleaning</w:t>
            </w:r>
          </w:p>
        </w:tc>
      </w:tr>
      <w:tr w:rsidR="00296D92" w14:paraId="20794A87" w14:textId="77777777" w:rsidTr="00AE2904">
        <w:sdt>
          <w:sdtPr>
            <w:rPr>
              <w:b/>
              <w:bCs/>
            </w:rPr>
            <w:id w:val="106259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5AA9BFA" w14:textId="77777777" w:rsidR="00296D92" w:rsidRDefault="00296D92" w:rsidP="00AE2904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1D2E9E3D" w14:textId="248B9388" w:rsidR="00296D92" w:rsidRPr="00296D92" w:rsidRDefault="00296D92" w:rsidP="00296D92">
            <w:pPr>
              <w:rPr>
                <w:rFonts w:ascii="Aptos" w:eastAsia="Aptos" w:hAnsi="Aptos" w:cs="Aptos"/>
              </w:rPr>
            </w:pPr>
            <w:r>
              <w:t xml:space="preserve">Operations: </w:t>
            </w:r>
            <w:r w:rsidRPr="4966519F">
              <w:rPr>
                <w:rFonts w:ascii="Aptos" w:eastAsia="Aptos" w:hAnsi="Aptos" w:cs="Aptos"/>
              </w:rPr>
              <w:t>process improvement, workflows, documentation</w:t>
            </w:r>
          </w:p>
        </w:tc>
      </w:tr>
      <w:tr w:rsidR="00296D92" w14:paraId="5951AAA9" w14:textId="77777777" w:rsidTr="00AE2904">
        <w:sdt>
          <w:sdtPr>
            <w:rPr>
              <w:b/>
              <w:bCs/>
            </w:rPr>
            <w:id w:val="-202353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82CD1A4" w14:textId="77777777" w:rsidR="00296D92" w:rsidRDefault="00296D92" w:rsidP="00AE2904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1A736E0D" w14:textId="6C23B75F" w:rsidR="00296D92" w:rsidRPr="00296D92" w:rsidRDefault="00296D92" w:rsidP="00296D92">
            <w:r>
              <w:t xml:space="preserve">Sustainability: </w:t>
            </w:r>
            <w:r w:rsidRPr="4966519F">
              <w:t>audits, awareness campaigns, research</w:t>
            </w:r>
          </w:p>
        </w:tc>
      </w:tr>
      <w:tr w:rsidR="00296D92" w14:paraId="755E97BA" w14:textId="77777777" w:rsidTr="00AE2904">
        <w:sdt>
          <w:sdtPr>
            <w:rPr>
              <w:b/>
              <w:bCs/>
            </w:rPr>
            <w:id w:val="208186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D0CE93E" w14:textId="3C0ABF04" w:rsidR="00296D92" w:rsidRDefault="00296D92" w:rsidP="00AE2904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635CACD0" w14:textId="6265A2BB" w:rsidR="00296D92" w:rsidRPr="00296D92" w:rsidRDefault="00296D92" w:rsidP="00296D92">
            <w:r>
              <w:t>Student support: r</w:t>
            </w:r>
            <w:r w:rsidRPr="4966519F">
              <w:rPr>
                <w:rFonts w:ascii="Aptos" w:eastAsia="Aptos" w:hAnsi="Aptos" w:cs="Aptos"/>
              </w:rPr>
              <w:t>esource review, mapping services, feedback collection</w:t>
            </w:r>
          </w:p>
        </w:tc>
      </w:tr>
      <w:tr w:rsidR="00296D92" w14:paraId="4BAB483F" w14:textId="77777777" w:rsidTr="00AE2904">
        <w:sdt>
          <w:sdtPr>
            <w:rPr>
              <w:rFonts w:ascii="MS Gothic" w:eastAsia="MS Gothic" w:hAnsi="MS Gothic" w:hint="eastAsia"/>
              <w:b/>
              <w:bCs/>
            </w:rPr>
            <w:id w:val="44096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56E2301" w14:textId="631DED8A" w:rsidR="00296D92" w:rsidRDefault="00296D92" w:rsidP="00AE2904">
                <w:pPr>
                  <w:rPr>
                    <w:rFonts w:ascii="MS Gothic" w:eastAsia="MS Gothic" w:hAnsi="MS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2D41AD8A" w14:textId="238D7192" w:rsidR="00296D92" w:rsidRDefault="00296D92" w:rsidP="00296D92">
            <w:r>
              <w:t xml:space="preserve">Education and policy: </w:t>
            </w:r>
            <w:r w:rsidRPr="4966519F">
              <w:rPr>
                <w:rFonts w:ascii="Aptos" w:eastAsia="Aptos" w:hAnsi="Aptos" w:cs="Aptos"/>
              </w:rPr>
              <w:t>policy summaries, briefing papers, training materials</w:t>
            </w:r>
          </w:p>
        </w:tc>
      </w:tr>
      <w:tr w:rsidR="00296D92" w14:paraId="56CC6CD8" w14:textId="77777777" w:rsidTr="00AE2904">
        <w:sdt>
          <w:sdtPr>
            <w:rPr>
              <w:rFonts w:ascii="MS Gothic" w:eastAsia="MS Gothic" w:hAnsi="MS Gothic" w:hint="eastAsia"/>
              <w:b/>
              <w:bCs/>
            </w:rPr>
            <w:id w:val="-56163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E1770E3" w14:textId="6B74CE52" w:rsidR="00296D92" w:rsidRDefault="00296D92" w:rsidP="00AE2904">
                <w:pPr>
                  <w:rPr>
                    <w:rFonts w:ascii="MS Gothic" w:eastAsia="MS Gothic" w:hAnsi="MS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34525D27" w14:textId="40EA12B1" w:rsidR="00296D92" w:rsidRDefault="00296D92" w:rsidP="00296D92">
            <w:r>
              <w:t xml:space="preserve">Marketing communications: </w:t>
            </w:r>
            <w:r w:rsidRPr="4966519F">
              <w:rPr>
                <w:rFonts w:ascii="Aptos" w:eastAsia="Aptos" w:hAnsi="Aptos" w:cs="Aptos"/>
              </w:rPr>
              <w:t>social media content, website updates, visual assets</w:t>
            </w:r>
          </w:p>
        </w:tc>
      </w:tr>
      <w:tr w:rsidR="00296D92" w14:paraId="0A2AED04" w14:textId="77777777" w:rsidTr="00AE2904">
        <w:sdt>
          <w:sdtPr>
            <w:rPr>
              <w:rFonts w:ascii="MS Gothic" w:eastAsia="MS Gothic" w:hAnsi="MS Gothic" w:hint="eastAsia"/>
              <w:b/>
              <w:bCs/>
            </w:rPr>
            <w:id w:val="63653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9009520" w14:textId="40C8E34A" w:rsidR="00296D92" w:rsidRDefault="00296D92" w:rsidP="00AE2904">
                <w:pPr>
                  <w:rPr>
                    <w:rFonts w:ascii="MS Gothic" w:eastAsia="MS Gothic" w:hAnsi="MS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0665CB0A" w14:textId="16457DF8" w:rsidR="00296D92" w:rsidRDefault="00296D92" w:rsidP="00296D92">
            <w:r>
              <w:t>Other (for projects that don’t fit neatly into the above categories)</w:t>
            </w:r>
          </w:p>
        </w:tc>
      </w:tr>
    </w:tbl>
    <w:p w14:paraId="0F386114" w14:textId="77777777" w:rsidR="00296D92" w:rsidRDefault="00296D92" w:rsidP="00296D92">
      <w:pPr>
        <w:rPr>
          <w:b/>
          <w:bCs/>
        </w:rPr>
      </w:pPr>
    </w:p>
    <w:p w14:paraId="00F0FCB5" w14:textId="77777777" w:rsidR="00296D92" w:rsidRPr="00D62E56" w:rsidRDefault="00296D92" w:rsidP="00296D92">
      <w:pPr>
        <w:pStyle w:val="Heading1"/>
      </w:pPr>
      <w:r>
        <w:t>Project summary</w:t>
      </w:r>
    </w:p>
    <w:p w14:paraId="381B6753" w14:textId="77777777" w:rsidR="00296D92" w:rsidRPr="00252F6D" w:rsidRDefault="00296D92" w:rsidP="00296D92">
      <w:r>
        <w:t> For us to approve your request to host a Bath Insights intern, we need you to define the project parameters and have a clear goal for the intern(s) to work towards.</w:t>
      </w:r>
    </w:p>
    <w:p w14:paraId="0E579E25" w14:textId="77777777" w:rsidR="00296D92" w:rsidRPr="00252F6D" w:rsidRDefault="00296D92" w:rsidP="00296D92">
      <w:r>
        <w:lastRenderedPageBreak/>
        <w:t>For your project summary you should consider:</w:t>
      </w:r>
    </w:p>
    <w:p w14:paraId="525A98DA" w14:textId="77777777" w:rsidR="00296D92" w:rsidRPr="00252F6D" w:rsidRDefault="00296D92" w:rsidP="00296D92">
      <w:pPr>
        <w:pStyle w:val="ListParagraph"/>
        <w:numPr>
          <w:ilvl w:val="0"/>
          <w:numId w:val="2"/>
        </w:numPr>
      </w:pPr>
      <w:r>
        <w:t>What do you want the intern to achieve? This should be a measurable output, for example ‘An analysis of the students currently accessing our provision and a presentation on how to increase engagement with three currently under-represented groups’</w:t>
      </w:r>
    </w:p>
    <w:p w14:paraId="78A6D1DC" w14:textId="77777777" w:rsidR="00296D92" w:rsidRPr="00252F6D" w:rsidRDefault="00296D92" w:rsidP="00296D92">
      <w:pPr>
        <w:pStyle w:val="ListParagraph"/>
        <w:numPr>
          <w:ilvl w:val="0"/>
          <w:numId w:val="2"/>
        </w:numPr>
      </w:pPr>
      <w:r w:rsidRPr="00252F6D">
        <w:t>How does this align with departmental or University goals?</w:t>
      </w:r>
    </w:p>
    <w:p w14:paraId="32CDEFFD" w14:textId="77777777" w:rsidR="00296D92" w:rsidRDefault="00296D92" w:rsidP="00296D92">
      <w:pPr>
        <w:pStyle w:val="ListParagraph"/>
        <w:numPr>
          <w:ilvl w:val="0"/>
          <w:numId w:val="2"/>
        </w:numPr>
      </w:pPr>
      <w:r>
        <w:t>Are the goals realistic given the intern’s likely limited experience and the 8-week timeframe? Remember Bath Insights internships are intended for students with minimal or no prior work experience</w:t>
      </w:r>
    </w:p>
    <w:p w14:paraId="217C9B8C" w14:textId="77777777" w:rsidR="00296D92" w:rsidRDefault="00296D92" w:rsidP="00296D92">
      <w:r>
        <w:t>e.g. Good projects should include research, analysis, problem-solving or creating something new, rather than routine administrative tasks.</w:t>
      </w:r>
    </w:p>
    <w:p w14:paraId="44680D25" w14:textId="77777777" w:rsidR="00296D92" w:rsidRDefault="00296D92" w:rsidP="00296D92">
      <w:r>
        <w:t>[In this space, write a short description and answer each of the questions above, outlining the purpose and expected outcomes of a Bath Insights internship within your department/team.]</w:t>
      </w:r>
    </w:p>
    <w:p w14:paraId="66B63A53" w14:textId="1B3E4B95" w:rsidR="00296D92" w:rsidRDefault="00296D92" w:rsidP="00296D92">
      <w:r w:rsidRPr="00802B67">
        <w:t xml:space="preserve">If you have any questions or require any help planning your internship please contact </w:t>
      </w:r>
      <w:hyperlink r:id="rId7" w:tgtFrame="_blank" w:history="1">
        <w:r w:rsidRPr="00802B67">
          <w:rPr>
            <w:rStyle w:val="Hyperlink"/>
          </w:rPr>
          <w:t>internships@bath.ac.uk</w:t>
        </w:r>
      </w:hyperlink>
      <w:r w:rsidR="006A2D26">
        <w:t>.</w:t>
      </w:r>
    </w:p>
    <w:p w14:paraId="53815DD4" w14:textId="77777777" w:rsidR="006A2D26" w:rsidRPr="006A2D26" w:rsidRDefault="006A2D26" w:rsidP="006A2D26">
      <w:pPr>
        <w:spacing w:after="0"/>
        <w:jc w:val="center"/>
        <w:rPr>
          <w:b/>
          <w:bCs/>
          <w:highlight w:val="yellow"/>
        </w:rPr>
      </w:pPr>
      <w:r w:rsidRPr="006A2D26">
        <w:rPr>
          <w:b/>
          <w:bCs/>
          <w:highlight w:val="yellow"/>
        </w:rPr>
        <w:t xml:space="preserve">Please complete and return this form to </w:t>
      </w:r>
      <w:hyperlink r:id="rId8" w:history="1">
        <w:r w:rsidRPr="006A2D26">
          <w:rPr>
            <w:rStyle w:val="Hyperlink"/>
            <w:b/>
            <w:bCs/>
            <w:highlight w:val="yellow"/>
          </w:rPr>
          <w:t>internships@bath.ac.uk</w:t>
        </w:r>
      </w:hyperlink>
    </w:p>
    <w:p w14:paraId="01D606F9" w14:textId="2D67470B" w:rsidR="006A2D26" w:rsidRPr="006A2D26" w:rsidRDefault="006A2D26" w:rsidP="006A2D26">
      <w:pPr>
        <w:spacing w:after="0"/>
        <w:jc w:val="center"/>
        <w:rPr>
          <w:b/>
          <w:bCs/>
        </w:rPr>
      </w:pPr>
      <w:r w:rsidRPr="006A2D26">
        <w:rPr>
          <w:b/>
          <w:bCs/>
          <w:highlight w:val="yellow"/>
        </w:rPr>
        <w:t xml:space="preserve">by </w:t>
      </w:r>
      <w:r w:rsidR="00562D02">
        <w:rPr>
          <w:b/>
          <w:bCs/>
          <w:highlight w:val="yellow"/>
        </w:rPr>
        <w:t xml:space="preserve">28 November </w:t>
      </w:r>
      <w:r w:rsidRPr="006A2D26">
        <w:rPr>
          <w:b/>
          <w:bCs/>
          <w:highlight w:val="yellow"/>
        </w:rPr>
        <w:t>2025.</w:t>
      </w:r>
    </w:p>
    <w:p w14:paraId="2A0D039C" w14:textId="77777777" w:rsidR="003F517A" w:rsidRDefault="003F517A"/>
    <w:sectPr w:rsidR="003F517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D860" w14:textId="77777777" w:rsidR="00CA030D" w:rsidRDefault="00CA030D" w:rsidP="00296D92">
      <w:pPr>
        <w:spacing w:after="0" w:line="240" w:lineRule="auto"/>
      </w:pPr>
      <w:r>
        <w:separator/>
      </w:r>
    </w:p>
  </w:endnote>
  <w:endnote w:type="continuationSeparator" w:id="0">
    <w:p w14:paraId="6EFACCA0" w14:textId="77777777" w:rsidR="00CA030D" w:rsidRDefault="00CA030D" w:rsidP="0029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D504" w14:textId="77777777" w:rsidR="00CA030D" w:rsidRDefault="00CA030D" w:rsidP="00296D92">
      <w:pPr>
        <w:spacing w:after="0" w:line="240" w:lineRule="auto"/>
      </w:pPr>
      <w:r>
        <w:separator/>
      </w:r>
    </w:p>
  </w:footnote>
  <w:footnote w:type="continuationSeparator" w:id="0">
    <w:p w14:paraId="288D93AE" w14:textId="77777777" w:rsidR="00CA030D" w:rsidRDefault="00CA030D" w:rsidP="0029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4916" w14:textId="37C10776" w:rsidR="00296D92" w:rsidRPr="00296D92" w:rsidRDefault="00296D92">
    <w:pPr>
      <w:pStyle w:val="Header"/>
      <w:rPr>
        <w:b/>
        <w:bCs/>
        <w:sz w:val="32"/>
        <w:szCs w:val="32"/>
      </w:rPr>
    </w:pPr>
    <w:r w:rsidRPr="00296D92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09A654B" wp14:editId="23F05648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2076450" cy="847725"/>
          <wp:effectExtent l="0" t="0" r="0" b="0"/>
          <wp:wrapNone/>
          <wp:docPr id="592545646" name="Picture 1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545646" name="Picture 1" descr="A logo of a univers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6D92">
      <w:rPr>
        <w:b/>
        <w:bCs/>
        <w:sz w:val="32"/>
        <w:szCs w:val="32"/>
      </w:rPr>
      <w:t>Bath Insights Internship Programme</w:t>
    </w:r>
  </w:p>
  <w:p w14:paraId="7C2C3AD3" w14:textId="67803C56" w:rsidR="00296D92" w:rsidRDefault="00296D92">
    <w:pPr>
      <w:pStyle w:val="Header"/>
      <w:rPr>
        <w:b/>
        <w:bCs/>
        <w:sz w:val="32"/>
        <w:szCs w:val="32"/>
      </w:rPr>
    </w:pPr>
    <w:r w:rsidRPr="00296D92">
      <w:rPr>
        <w:b/>
        <w:bCs/>
        <w:sz w:val="32"/>
        <w:szCs w:val="32"/>
      </w:rPr>
      <w:t>Project Brief</w:t>
    </w:r>
  </w:p>
  <w:p w14:paraId="4824BB17" w14:textId="77777777" w:rsidR="00296D92" w:rsidRPr="00296D92" w:rsidRDefault="00296D92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DEF"/>
    <w:multiLevelType w:val="hybridMultilevel"/>
    <w:tmpl w:val="8BB8BD9E"/>
    <w:lvl w:ilvl="0" w:tplc="E982A8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ABE3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461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568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9E2B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4E5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B488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E8E0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A6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D120A"/>
    <w:multiLevelType w:val="hybridMultilevel"/>
    <w:tmpl w:val="FFFFFFFF"/>
    <w:lvl w:ilvl="0" w:tplc="0764E4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C404E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25A725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D18787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0029FB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94C457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886233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5B0E65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8D652D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2DC9"/>
    <w:multiLevelType w:val="hybridMultilevel"/>
    <w:tmpl w:val="D820D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8787">
    <w:abstractNumId w:val="0"/>
  </w:num>
  <w:num w:numId="2" w16cid:durableId="1920214604">
    <w:abstractNumId w:val="2"/>
  </w:num>
  <w:num w:numId="3" w16cid:durableId="2748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92"/>
    <w:rsid w:val="001121D9"/>
    <w:rsid w:val="00112FE0"/>
    <w:rsid w:val="00114CAB"/>
    <w:rsid w:val="00296D92"/>
    <w:rsid w:val="003F517A"/>
    <w:rsid w:val="00436852"/>
    <w:rsid w:val="004D13D9"/>
    <w:rsid w:val="005215E1"/>
    <w:rsid w:val="00562D02"/>
    <w:rsid w:val="005C365C"/>
    <w:rsid w:val="006A2D26"/>
    <w:rsid w:val="00801DD0"/>
    <w:rsid w:val="00877F5A"/>
    <w:rsid w:val="008961BF"/>
    <w:rsid w:val="00C6414C"/>
    <w:rsid w:val="00CA030D"/>
    <w:rsid w:val="00D26B45"/>
    <w:rsid w:val="00D8162C"/>
    <w:rsid w:val="00F00124"/>
    <w:rsid w:val="00F1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A74A2"/>
  <w15:chartTrackingRefBased/>
  <w15:docId w15:val="{453A6EB6-37F4-4E5B-8A67-E554D0F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92"/>
  </w:style>
  <w:style w:type="paragraph" w:styleId="Heading1">
    <w:name w:val="heading 1"/>
    <w:basedOn w:val="Normal"/>
    <w:next w:val="Normal"/>
    <w:link w:val="Heading1Char"/>
    <w:uiPriority w:val="9"/>
    <w:qFormat/>
    <w:rsid w:val="00296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D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6D9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D9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6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D92"/>
  </w:style>
  <w:style w:type="paragraph" w:styleId="Footer">
    <w:name w:val="footer"/>
    <w:basedOn w:val="Normal"/>
    <w:link w:val="FooterChar"/>
    <w:uiPriority w:val="99"/>
    <w:unhideWhenUsed/>
    <w:rsid w:val="00296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D92"/>
  </w:style>
  <w:style w:type="table" w:styleId="TableGrid">
    <w:name w:val="Table Grid"/>
    <w:basedOn w:val="TableNormal"/>
    <w:uiPriority w:val="39"/>
    <w:rsid w:val="0029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ships@bath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ships@b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2323</Characters>
  <Application>Microsoft Office Word</Application>
  <DocSecurity>0</DocSecurity>
  <Lines>19</Lines>
  <Paragraphs>5</Paragraphs>
  <ScaleCrop>false</ScaleCrop>
  <Company>University of Bath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Ings</dc:creator>
  <cp:keywords/>
  <dc:description/>
  <cp:lastModifiedBy>Kyra Ings</cp:lastModifiedBy>
  <cp:revision>2</cp:revision>
  <dcterms:created xsi:type="dcterms:W3CDTF">2025-11-13T11:22:00Z</dcterms:created>
  <dcterms:modified xsi:type="dcterms:W3CDTF">2025-11-13T11:22:00Z</dcterms:modified>
</cp:coreProperties>
</file>