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C806" w14:textId="345FBC33" w:rsidR="00FD59DB" w:rsidRPr="00FD59DB" w:rsidRDefault="007970FC" w:rsidP="00FD59DB">
      <w:pPr>
        <w:pStyle w:val="Heading1"/>
        <w:shd w:val="clear" w:color="auto" w:fill="FFFFFF"/>
        <w:spacing w:before="0" w:beforeAutospacing="0" w:after="0" w:afterAutospacing="0" w:line="885" w:lineRule="atLeast"/>
        <w:rPr>
          <w:rFonts w:ascii="Arial" w:hAnsi="Arial" w:cs="Arial"/>
          <w:color w:val="000000"/>
          <w:sz w:val="22"/>
          <w:szCs w:val="22"/>
        </w:rPr>
      </w:pPr>
      <w:r w:rsidRPr="00FD59DB">
        <w:rPr>
          <w:rFonts w:ascii="Arial" w:hAnsi="Arial" w:cs="Arial"/>
          <w:sz w:val="22"/>
          <w:szCs w:val="22"/>
        </w:rPr>
        <w:t xml:space="preserve">Appendix </w:t>
      </w:r>
      <w:r w:rsidR="00FB3B78">
        <w:rPr>
          <w:rFonts w:ascii="Arial" w:hAnsi="Arial" w:cs="Arial"/>
          <w:sz w:val="22"/>
          <w:szCs w:val="22"/>
        </w:rPr>
        <w:t>B</w:t>
      </w:r>
      <w:r w:rsidRPr="00FD59DB">
        <w:rPr>
          <w:rFonts w:ascii="Arial" w:hAnsi="Arial" w:cs="Arial"/>
          <w:sz w:val="22"/>
          <w:szCs w:val="22"/>
        </w:rPr>
        <w:t xml:space="preserve"> of the </w:t>
      </w:r>
      <w:hyperlink r:id="rId7" w:anchor="appendix-b-complaints-cb80" w:history="1">
        <w:r w:rsidR="00FD59DB" w:rsidRPr="00FD59DB">
          <w:rPr>
            <w:rStyle w:val="Hyperlink"/>
            <w:rFonts w:ascii="Arial" w:hAnsi="Arial" w:cs="Arial"/>
            <w:sz w:val="22"/>
            <w:szCs w:val="22"/>
          </w:rPr>
          <w:t>Code of Practice on Freedom of Speech and Academic Freedom</w:t>
        </w:r>
      </w:hyperlink>
    </w:p>
    <w:p w14:paraId="08A2AC7E" w14:textId="06236EEA" w:rsidR="007970FC" w:rsidRDefault="007970FC" w:rsidP="007970FC">
      <w:pPr>
        <w:ind w:left="0"/>
        <w:jc w:val="both"/>
        <w:rPr>
          <w:rFonts w:ascii="Arial" w:hAnsi="Arial" w:cs="Arial"/>
          <w:b/>
          <w:bCs/>
        </w:rPr>
      </w:pPr>
    </w:p>
    <w:p w14:paraId="31573A83" w14:textId="1370D342" w:rsidR="007970FC" w:rsidRDefault="00FB3B78" w:rsidP="007970FC">
      <w:pPr>
        <w:ind w:left="0"/>
        <w:jc w:val="both"/>
        <w:rPr>
          <w:rFonts w:ascii="Arial" w:hAnsi="Arial" w:cs="Arial"/>
          <w:b/>
          <w:bCs/>
          <w:sz w:val="28"/>
          <w:szCs w:val="28"/>
        </w:rPr>
      </w:pPr>
      <w:r>
        <w:rPr>
          <w:rFonts w:ascii="Arial" w:hAnsi="Arial" w:cs="Arial"/>
          <w:b/>
          <w:bCs/>
          <w:sz w:val="28"/>
          <w:szCs w:val="28"/>
        </w:rPr>
        <w:t>Complaints</w:t>
      </w:r>
    </w:p>
    <w:p w14:paraId="1340547B" w14:textId="77777777" w:rsidR="007970FC" w:rsidRDefault="007970FC" w:rsidP="007970FC">
      <w:pPr>
        <w:ind w:left="0"/>
        <w:jc w:val="both"/>
        <w:rPr>
          <w:rFonts w:ascii="Arial" w:hAnsi="Arial" w:cs="Arial"/>
          <w:b/>
          <w:bCs/>
          <w:sz w:val="28"/>
          <w:szCs w:val="28"/>
        </w:rPr>
      </w:pPr>
    </w:p>
    <w:p w14:paraId="08ECA38E" w14:textId="77777777" w:rsidR="00FB3B78" w:rsidRDefault="00FB3B78" w:rsidP="00FB3B78">
      <w:pPr>
        <w:numPr>
          <w:ilvl w:val="0"/>
          <w:numId w:val="10"/>
        </w:numPr>
        <w:spacing w:after="160" w:line="240" w:lineRule="auto"/>
        <w:ind w:right="113"/>
        <w:contextualSpacing/>
        <w:jc w:val="both"/>
        <w:rPr>
          <w:rFonts w:ascii="Arial" w:eastAsia="Times New Roman" w:hAnsi="Arial" w:cs="Arial"/>
          <w:color w:val="auto"/>
          <w:lang w:eastAsia="en-US"/>
        </w:rPr>
      </w:pPr>
      <w:r w:rsidRPr="00FB3B78">
        <w:rPr>
          <w:rFonts w:ascii="Arial" w:eastAsia="Times New Roman" w:hAnsi="Arial" w:cs="Arial"/>
          <w:color w:val="auto"/>
          <w:lang w:eastAsia="en-US"/>
        </w:rPr>
        <w:t>This procedure is for use by students, staff, or visiting speakers who have a complaint about the University's implementation of this Code of Practice on Freedom of Speech only.</w:t>
      </w:r>
    </w:p>
    <w:p w14:paraId="442D7024" w14:textId="77777777" w:rsidR="00FB3B78" w:rsidRPr="00FB3B78" w:rsidRDefault="00FB3B78" w:rsidP="00FB3B78">
      <w:pPr>
        <w:spacing w:after="160" w:line="240" w:lineRule="auto"/>
        <w:ind w:left="567" w:right="113" w:firstLine="0"/>
        <w:contextualSpacing/>
        <w:jc w:val="both"/>
        <w:rPr>
          <w:rFonts w:ascii="Arial" w:eastAsia="Times New Roman" w:hAnsi="Arial" w:cs="Arial"/>
          <w:color w:val="auto"/>
          <w:lang w:eastAsia="en-US"/>
        </w:rPr>
      </w:pPr>
    </w:p>
    <w:p w14:paraId="794B3CB3" w14:textId="77777777" w:rsidR="00FB3B78" w:rsidRPr="00FB3B78" w:rsidRDefault="00FB3B78" w:rsidP="00FB3B78">
      <w:pPr>
        <w:numPr>
          <w:ilvl w:val="0"/>
          <w:numId w:val="10"/>
        </w:numPr>
        <w:spacing w:after="180" w:line="240" w:lineRule="auto"/>
        <w:jc w:val="both"/>
        <w:rPr>
          <w:rFonts w:ascii="Arial" w:eastAsia="Times New Roman" w:hAnsi="Arial" w:cs="Arial"/>
          <w:iCs/>
          <w:color w:val="auto"/>
          <w:lang w:eastAsia="en-US"/>
        </w:rPr>
      </w:pPr>
      <w:r w:rsidRPr="00FB3B78">
        <w:rPr>
          <w:rFonts w:ascii="Arial" w:eastAsia="Times New Roman" w:hAnsi="Arial" w:cs="Arial"/>
          <w:iCs/>
          <w:color w:val="auto"/>
          <w:lang w:eastAsia="en-US"/>
        </w:rPr>
        <w:t>Complaints should be sent in the first instance to the [University Secretary] who will:</w:t>
      </w:r>
    </w:p>
    <w:p w14:paraId="56648F1E" w14:textId="77777777" w:rsidR="00FB3B78" w:rsidRPr="00FB3B78" w:rsidRDefault="00FB3B78" w:rsidP="00FB3B78">
      <w:pPr>
        <w:numPr>
          <w:ilvl w:val="1"/>
          <w:numId w:val="10"/>
        </w:numPr>
        <w:spacing w:after="180" w:line="240" w:lineRule="auto"/>
        <w:jc w:val="both"/>
        <w:rPr>
          <w:rFonts w:ascii="Arial" w:eastAsia="Times New Roman" w:hAnsi="Arial" w:cs="Arial"/>
          <w:iCs/>
          <w:color w:val="auto"/>
          <w:lang w:eastAsia="en-US"/>
        </w:rPr>
      </w:pPr>
      <w:r w:rsidRPr="00FB3B78">
        <w:rPr>
          <w:rFonts w:ascii="Arial" w:eastAsia="Times New Roman" w:hAnsi="Arial" w:cs="Arial"/>
          <w:color w:val="auto"/>
          <w:lang w:eastAsia="en-US"/>
        </w:rPr>
        <w:t>determine whether the complaint falls within the remit of this procedure;</w:t>
      </w:r>
    </w:p>
    <w:p w14:paraId="6AD367E9" w14:textId="77777777" w:rsidR="00FB3B78" w:rsidRPr="00FB3B78" w:rsidRDefault="00FB3B78" w:rsidP="00FB3B78">
      <w:pPr>
        <w:numPr>
          <w:ilvl w:val="1"/>
          <w:numId w:val="10"/>
        </w:numPr>
        <w:spacing w:after="180" w:line="240" w:lineRule="auto"/>
        <w:jc w:val="both"/>
        <w:rPr>
          <w:rFonts w:ascii="Arial" w:eastAsia="Times New Roman" w:hAnsi="Arial" w:cs="Arial"/>
          <w:color w:val="auto"/>
          <w:lang w:eastAsia="en-US"/>
        </w:rPr>
      </w:pPr>
      <w:r w:rsidRPr="00FB3B78">
        <w:rPr>
          <w:rFonts w:ascii="Arial" w:eastAsia="Times New Roman" w:hAnsi="Arial" w:cs="Arial"/>
          <w:color w:val="auto"/>
          <w:lang w:eastAsia="en-US"/>
        </w:rPr>
        <w:t>Consult with Student Support &amp; Safeguarding, Human Resources and any other relevant Departments to identify which University process is most suited to handling the issue.</w:t>
      </w:r>
    </w:p>
    <w:p w14:paraId="4B4632B5" w14:textId="77777777" w:rsidR="00FB3B78" w:rsidRPr="00FB3B78" w:rsidRDefault="00FB3B78" w:rsidP="00FB3B78">
      <w:pPr>
        <w:numPr>
          <w:ilvl w:val="0"/>
          <w:numId w:val="10"/>
        </w:numPr>
        <w:spacing w:after="180" w:line="240" w:lineRule="auto"/>
        <w:jc w:val="both"/>
        <w:rPr>
          <w:rFonts w:ascii="Arial" w:eastAsia="Times New Roman" w:hAnsi="Arial" w:cs="Arial"/>
          <w:color w:val="auto"/>
          <w:lang w:eastAsia="en-US"/>
        </w:rPr>
      </w:pPr>
      <w:r w:rsidRPr="00FB3B78">
        <w:rPr>
          <w:rFonts w:ascii="Arial" w:eastAsia="Times New Roman" w:hAnsi="Arial" w:cs="Arial"/>
          <w:color w:val="auto"/>
          <w:lang w:eastAsia="en-US"/>
        </w:rPr>
        <w:t>We recognise that some issues which are raised will be complex and may not fit neatly into one University policy. It will be explained to all parties how the matters will be investigated, who will coordinate the process, and who will issue the final decision in accordance with, as appropriate:</w:t>
      </w:r>
    </w:p>
    <w:p w14:paraId="5F14144E" w14:textId="77777777" w:rsidR="00FB3B78" w:rsidRPr="00FB3B78" w:rsidRDefault="0058071D" w:rsidP="00FB3B78">
      <w:pPr>
        <w:numPr>
          <w:ilvl w:val="1"/>
          <w:numId w:val="10"/>
        </w:numPr>
        <w:spacing w:after="180" w:line="240" w:lineRule="auto"/>
        <w:jc w:val="both"/>
        <w:rPr>
          <w:rFonts w:ascii="Arial" w:eastAsia="Times New Roman" w:hAnsi="Arial" w:cs="Arial"/>
          <w:color w:val="auto"/>
          <w:lang w:eastAsia="en-US"/>
        </w:rPr>
      </w:pPr>
      <w:hyperlink r:id="rId8" w:history="1">
        <w:r w:rsidR="00FB3B78" w:rsidRPr="00FB3B78">
          <w:rPr>
            <w:rFonts w:ascii="Arial" w:eastAsia="Times New Roman" w:hAnsi="Arial" w:cs="Arial"/>
            <w:color w:val="0563C1" w:themeColor="hyperlink"/>
            <w:u w:val="single"/>
            <w:lang w:eastAsia="en-US"/>
          </w:rPr>
          <w:t>Student Complaints Policy &amp; Procedure</w:t>
        </w:r>
      </w:hyperlink>
    </w:p>
    <w:p w14:paraId="205BEA46" w14:textId="77777777" w:rsidR="00FB3B78" w:rsidRPr="00FB3B78" w:rsidRDefault="0058071D" w:rsidP="00FB3B78">
      <w:pPr>
        <w:numPr>
          <w:ilvl w:val="1"/>
          <w:numId w:val="10"/>
        </w:numPr>
        <w:spacing w:after="180" w:line="240" w:lineRule="auto"/>
        <w:jc w:val="both"/>
        <w:rPr>
          <w:rFonts w:ascii="Arial" w:eastAsia="Times New Roman" w:hAnsi="Arial" w:cs="Arial"/>
          <w:color w:val="auto"/>
          <w:lang w:eastAsia="en-US"/>
        </w:rPr>
      </w:pPr>
      <w:hyperlink r:id="rId9" w:history="1">
        <w:r w:rsidR="00FB3B78" w:rsidRPr="00FB3B78">
          <w:rPr>
            <w:rFonts w:ascii="Arial" w:eastAsia="Times New Roman" w:hAnsi="Arial" w:cs="Arial"/>
            <w:color w:val="0563C1" w:themeColor="hyperlink"/>
            <w:u w:val="single"/>
            <w:lang w:eastAsia="en-US"/>
          </w:rPr>
          <w:t>Dignity and Respect Policy &amp; Procedure</w:t>
        </w:r>
      </w:hyperlink>
    </w:p>
    <w:p w14:paraId="01375587" w14:textId="77777777" w:rsidR="00FB3B78" w:rsidRPr="00FB3B78" w:rsidRDefault="0058071D" w:rsidP="00FB3B78">
      <w:pPr>
        <w:numPr>
          <w:ilvl w:val="1"/>
          <w:numId w:val="10"/>
        </w:numPr>
        <w:spacing w:after="180" w:line="240" w:lineRule="auto"/>
        <w:jc w:val="both"/>
        <w:rPr>
          <w:rFonts w:ascii="Arial" w:eastAsia="Times New Roman" w:hAnsi="Arial" w:cs="Arial"/>
          <w:color w:val="auto"/>
          <w:lang w:eastAsia="en-US"/>
        </w:rPr>
      </w:pPr>
      <w:hyperlink r:id="rId10" w:history="1">
        <w:r w:rsidR="00FB3B78" w:rsidRPr="00FB3B78">
          <w:rPr>
            <w:rFonts w:ascii="Arial" w:eastAsia="Times New Roman" w:hAnsi="Arial" w:cs="Arial"/>
            <w:color w:val="0563C1" w:themeColor="hyperlink"/>
            <w:u w:val="single"/>
            <w:lang w:eastAsia="en-US"/>
          </w:rPr>
          <w:t>Staff Grievance Policy &amp; Procedure</w:t>
        </w:r>
      </w:hyperlink>
    </w:p>
    <w:p w14:paraId="752D55C5" w14:textId="1C881D1C" w:rsidR="0023205E" w:rsidRPr="0058071D" w:rsidRDefault="00FB3B78" w:rsidP="0058071D">
      <w:pPr>
        <w:numPr>
          <w:ilvl w:val="1"/>
          <w:numId w:val="10"/>
        </w:numPr>
        <w:spacing w:after="180" w:line="240" w:lineRule="auto"/>
        <w:jc w:val="both"/>
        <w:rPr>
          <w:rFonts w:ascii="Arial" w:eastAsia="Times New Roman" w:hAnsi="Arial" w:cs="Arial"/>
          <w:color w:val="auto"/>
          <w:lang w:eastAsia="en-US"/>
        </w:rPr>
      </w:pPr>
      <w:r w:rsidRPr="00FB3B78">
        <w:rPr>
          <w:rFonts w:ascii="Arial" w:eastAsia="Times New Roman" w:hAnsi="Arial" w:cs="Arial"/>
          <w:color w:val="auto"/>
          <w:lang w:eastAsia="en-US"/>
        </w:rPr>
        <w:t>Other policies and procedures as appropriate to the issue under consideration</w:t>
      </w:r>
      <w:r w:rsidR="0058071D">
        <w:rPr>
          <w:rFonts w:ascii="Arial" w:eastAsia="Times New Roman" w:hAnsi="Arial" w:cs="Arial"/>
          <w:color w:val="auto"/>
          <w:lang w:eastAsia="en-US"/>
        </w:rPr>
        <w:t>.</w:t>
      </w:r>
    </w:p>
    <w:sectPr w:rsidR="0023205E" w:rsidRPr="005807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ECB0" w14:textId="77777777" w:rsidR="006B1C38" w:rsidRDefault="006B1C38" w:rsidP="006B1C38">
      <w:pPr>
        <w:spacing w:after="0" w:line="240" w:lineRule="auto"/>
      </w:pPr>
      <w:r>
        <w:separator/>
      </w:r>
    </w:p>
  </w:endnote>
  <w:endnote w:type="continuationSeparator" w:id="0">
    <w:p w14:paraId="0CA1339B" w14:textId="77777777" w:rsidR="006B1C38" w:rsidRDefault="006B1C38" w:rsidP="006B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C014" w14:textId="77777777" w:rsidR="006B1C38" w:rsidRDefault="006B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955243"/>
      <w:docPartObj>
        <w:docPartGallery w:val="Page Numbers (Bottom of Page)"/>
        <w:docPartUnique/>
      </w:docPartObj>
    </w:sdtPr>
    <w:sdtEndPr/>
    <w:sdtContent>
      <w:sdt>
        <w:sdtPr>
          <w:id w:val="1728636285"/>
          <w:docPartObj>
            <w:docPartGallery w:val="Page Numbers (Top of Page)"/>
            <w:docPartUnique/>
          </w:docPartObj>
        </w:sdtPr>
        <w:sdtEndPr/>
        <w:sdtContent>
          <w:p w14:paraId="3D8632BC" w14:textId="51D73604" w:rsidR="006B1C38" w:rsidRDefault="006B1C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3FE255" w14:textId="77777777" w:rsidR="006B1C38" w:rsidRDefault="006B1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39D" w14:textId="77777777" w:rsidR="006B1C38" w:rsidRDefault="006B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AFC7" w14:textId="77777777" w:rsidR="006B1C38" w:rsidRDefault="006B1C38" w:rsidP="006B1C38">
      <w:pPr>
        <w:spacing w:after="0" w:line="240" w:lineRule="auto"/>
      </w:pPr>
      <w:r>
        <w:separator/>
      </w:r>
    </w:p>
  </w:footnote>
  <w:footnote w:type="continuationSeparator" w:id="0">
    <w:p w14:paraId="46CAA240" w14:textId="77777777" w:rsidR="006B1C38" w:rsidRDefault="006B1C38" w:rsidP="006B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444" w14:textId="77777777" w:rsidR="006B1C38" w:rsidRDefault="006B1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5548" w14:textId="77777777" w:rsidR="006B1C38" w:rsidRDefault="006B1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661B" w14:textId="77777777" w:rsidR="006B1C38" w:rsidRDefault="006B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12E"/>
    <w:multiLevelType w:val="multilevel"/>
    <w:tmpl w:val="C246A2E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F343D0"/>
    <w:multiLevelType w:val="hybridMultilevel"/>
    <w:tmpl w:val="92B4A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650456"/>
    <w:multiLevelType w:val="hybridMultilevel"/>
    <w:tmpl w:val="FA66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6745A"/>
    <w:multiLevelType w:val="hybridMultilevel"/>
    <w:tmpl w:val="3E0EF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F4A86"/>
    <w:multiLevelType w:val="hybridMultilevel"/>
    <w:tmpl w:val="3768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47ECE"/>
    <w:multiLevelType w:val="hybridMultilevel"/>
    <w:tmpl w:val="B25E4D58"/>
    <w:lvl w:ilvl="0" w:tplc="0809000F">
      <w:start w:val="1"/>
      <w:numFmt w:val="decimal"/>
      <w:lvlText w:val="%1."/>
      <w:lvlJc w:val="left"/>
      <w:pPr>
        <w:ind w:left="360" w:hanging="360"/>
      </w:pPr>
    </w:lvl>
    <w:lvl w:ilvl="1" w:tplc="76761E5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757648"/>
    <w:multiLevelType w:val="hybridMultilevel"/>
    <w:tmpl w:val="B864737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6E050CFF"/>
    <w:multiLevelType w:val="hybridMultilevel"/>
    <w:tmpl w:val="9A30C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B56880"/>
    <w:multiLevelType w:val="hybridMultilevel"/>
    <w:tmpl w:val="EC2A9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D16588"/>
    <w:multiLevelType w:val="hybridMultilevel"/>
    <w:tmpl w:val="9EF0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61240">
    <w:abstractNumId w:val="2"/>
  </w:num>
  <w:num w:numId="2" w16cid:durableId="1859655724">
    <w:abstractNumId w:val="9"/>
  </w:num>
  <w:num w:numId="3" w16cid:durableId="369574705">
    <w:abstractNumId w:val="6"/>
  </w:num>
  <w:num w:numId="4" w16cid:durableId="628248577">
    <w:abstractNumId w:val="7"/>
  </w:num>
  <w:num w:numId="5" w16cid:durableId="63115588">
    <w:abstractNumId w:val="4"/>
  </w:num>
  <w:num w:numId="6" w16cid:durableId="2066416334">
    <w:abstractNumId w:val="5"/>
  </w:num>
  <w:num w:numId="7" w16cid:durableId="1607686823">
    <w:abstractNumId w:val="8"/>
  </w:num>
  <w:num w:numId="8" w16cid:durableId="1676683457">
    <w:abstractNumId w:val="3"/>
  </w:num>
  <w:num w:numId="9" w16cid:durableId="1597638282">
    <w:abstractNumId w:val="1"/>
  </w:num>
  <w:num w:numId="10" w16cid:durableId="10631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FC"/>
    <w:rsid w:val="000545EA"/>
    <w:rsid w:val="0023205E"/>
    <w:rsid w:val="003D0AC3"/>
    <w:rsid w:val="00443F46"/>
    <w:rsid w:val="0057666A"/>
    <w:rsid w:val="0058071D"/>
    <w:rsid w:val="006B1C38"/>
    <w:rsid w:val="007970FC"/>
    <w:rsid w:val="00D03D18"/>
    <w:rsid w:val="00D71096"/>
    <w:rsid w:val="00FB3B78"/>
    <w:rsid w:val="00FD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FEAA"/>
  <w15:chartTrackingRefBased/>
  <w15:docId w15:val="{CD7AD8AC-191E-4C68-BBD8-1896BECF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FC"/>
    <w:pPr>
      <w:spacing w:after="63" w:line="251" w:lineRule="auto"/>
      <w:ind w:left="1044" w:hanging="10"/>
    </w:pPr>
    <w:rPr>
      <w:rFonts w:ascii="Calibri" w:eastAsia="Calibri" w:hAnsi="Calibri" w:cs="Calibri"/>
      <w:color w:val="000000"/>
      <w:kern w:val="0"/>
      <w:lang w:eastAsia="en-GB"/>
      <w14:ligatures w14:val="none"/>
    </w:rPr>
  </w:style>
  <w:style w:type="paragraph" w:styleId="Heading1">
    <w:name w:val="heading 1"/>
    <w:basedOn w:val="Normal"/>
    <w:link w:val="Heading1Char"/>
    <w:uiPriority w:val="9"/>
    <w:qFormat/>
    <w:rsid w:val="00FD59DB"/>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FC"/>
    <w:pPr>
      <w:spacing w:after="0" w:line="240" w:lineRule="auto"/>
      <w:ind w:left="720" w:firstLine="0"/>
    </w:pPr>
    <w:rPr>
      <w:rFonts w:eastAsiaTheme="minorHAnsi"/>
      <w:color w:val="auto"/>
      <w:lang w:eastAsia="en-US"/>
    </w:rPr>
  </w:style>
  <w:style w:type="table" w:styleId="TableGrid">
    <w:name w:val="Table Grid"/>
    <w:basedOn w:val="TableNormal"/>
    <w:uiPriority w:val="39"/>
    <w:rsid w:val="007970F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0FC"/>
    <w:rPr>
      <w:color w:val="0563C1" w:themeColor="hyperlink"/>
      <w:u w:val="single"/>
    </w:rPr>
  </w:style>
  <w:style w:type="character" w:styleId="UnresolvedMention">
    <w:name w:val="Unresolved Mention"/>
    <w:basedOn w:val="DefaultParagraphFont"/>
    <w:uiPriority w:val="99"/>
    <w:semiHidden/>
    <w:unhideWhenUsed/>
    <w:rsid w:val="007970FC"/>
    <w:rPr>
      <w:color w:val="605E5C"/>
      <w:shd w:val="clear" w:color="auto" w:fill="E1DFDD"/>
    </w:rPr>
  </w:style>
  <w:style w:type="character" w:customStyle="1" w:styleId="Heading1Char">
    <w:name w:val="Heading 1 Char"/>
    <w:basedOn w:val="DefaultParagraphFont"/>
    <w:link w:val="Heading1"/>
    <w:uiPriority w:val="9"/>
    <w:rsid w:val="00FD59DB"/>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unhideWhenUsed/>
    <w:rsid w:val="00FD59D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6B1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C38"/>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6B1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C38"/>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4093">
      <w:bodyDiv w:val="1"/>
      <w:marLeft w:val="0"/>
      <w:marRight w:val="0"/>
      <w:marTop w:val="0"/>
      <w:marBottom w:val="0"/>
      <w:divBdr>
        <w:top w:val="none" w:sz="0" w:space="0" w:color="auto"/>
        <w:left w:val="none" w:sz="0" w:space="0" w:color="auto"/>
        <w:bottom w:val="none" w:sz="0" w:space="0" w:color="auto"/>
        <w:right w:val="none" w:sz="0" w:space="0" w:color="auto"/>
      </w:divBdr>
    </w:div>
    <w:div w:id="383523689">
      <w:bodyDiv w:val="1"/>
      <w:marLeft w:val="0"/>
      <w:marRight w:val="0"/>
      <w:marTop w:val="0"/>
      <w:marBottom w:val="0"/>
      <w:divBdr>
        <w:top w:val="none" w:sz="0" w:space="0" w:color="auto"/>
        <w:left w:val="none" w:sz="0" w:space="0" w:color="auto"/>
        <w:bottom w:val="none" w:sz="0" w:space="0" w:color="auto"/>
        <w:right w:val="none" w:sz="0" w:space="0" w:color="auto"/>
      </w:divBdr>
    </w:div>
    <w:div w:id="821046978">
      <w:bodyDiv w:val="1"/>
      <w:marLeft w:val="0"/>
      <w:marRight w:val="0"/>
      <w:marTop w:val="0"/>
      <w:marBottom w:val="0"/>
      <w:divBdr>
        <w:top w:val="none" w:sz="0" w:space="0" w:color="auto"/>
        <w:left w:val="none" w:sz="0" w:space="0" w:color="auto"/>
        <w:bottom w:val="none" w:sz="0" w:space="0" w:color="auto"/>
        <w:right w:val="none" w:sz="0" w:space="0" w:color="auto"/>
      </w:divBdr>
    </w:div>
    <w:div w:id="83665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guides/student-complaints-policy-and-procedu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ampus.bath.ac.uk\legal-information\code-of-practice-on-freedom-of-speech-and-academic-freed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ath.ac.uk/legal-information/staff-grievance-policy-and-procedure/" TargetMode="External"/><Relationship Id="rId4" Type="http://schemas.openxmlformats.org/officeDocument/2006/relationships/webSettings" Target="webSettings.xml"/><Relationship Id="rId9" Type="http://schemas.openxmlformats.org/officeDocument/2006/relationships/hyperlink" Target="https://www.bath.ac.uk/publications/the-dignity-respect-policy-and-procedu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Sarah McInnes</cp:lastModifiedBy>
  <cp:revision>4</cp:revision>
  <dcterms:created xsi:type="dcterms:W3CDTF">2024-08-12T14:23:00Z</dcterms:created>
  <dcterms:modified xsi:type="dcterms:W3CDTF">2024-09-18T10:05:00Z</dcterms:modified>
</cp:coreProperties>
</file>