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359FE" w14:textId="77777777" w:rsidR="00EA1EAF" w:rsidRDefault="00BF4B80">
      <w:pPr>
        <w:pStyle w:val="Heading1"/>
      </w:pPr>
      <w:r>
        <w:t>HSS FLTQC</w:t>
      </w:r>
    </w:p>
    <w:p w14:paraId="1E703A78" w14:textId="77777777" w:rsidR="00EA1EAF" w:rsidRDefault="00BF4B80">
      <w:pPr>
        <w:pStyle w:val="BodyText"/>
      </w:pPr>
      <w:r>
        <w:t>Tuesday, 10th June 2025 1:00 pm</w:t>
      </w:r>
    </w:p>
    <w:p w14:paraId="527FD539" w14:textId="77777777" w:rsidR="00EA1EAF" w:rsidRDefault="00BF4B80">
      <w:pPr>
        <w:pStyle w:val="BodyText"/>
      </w:pPr>
      <w:r>
        <w:t>Online   |   HSS Faculty Learning, Teaching and Quality Committee</w:t>
      </w:r>
    </w:p>
    <w:p w14:paraId="0D23DE6D" w14:textId="77777777" w:rsidR="00EA1EAF" w:rsidRDefault="00EA1EAF">
      <w:pPr>
        <w:pStyle w:val="BodyText"/>
      </w:pPr>
    </w:p>
    <w:p w14:paraId="3418B299" w14:textId="77777777" w:rsidR="00EA1EAF" w:rsidRDefault="00BF4B80">
      <w:pPr>
        <w:pStyle w:val="Heading2"/>
      </w:pPr>
      <w:r>
        <w:t>Attendees</w:t>
      </w:r>
    </w:p>
    <w:p w14:paraId="3288577F" w14:textId="77777777" w:rsidR="00EA1EAF" w:rsidRDefault="00EA1EAF">
      <w:pPr>
        <w:pStyle w:val="HorizontalLine"/>
      </w:pPr>
    </w:p>
    <w:p w14:paraId="33917AA7" w14:textId="77777777" w:rsidR="00EA1EAF" w:rsidRDefault="00BF4B80">
      <w:pPr>
        <w:pStyle w:val="Heading4"/>
      </w:pPr>
      <w:r>
        <w:t>Attended</w:t>
      </w:r>
    </w:p>
    <w:p w14:paraId="6F1B3880" w14:textId="77777777" w:rsidR="00EA1EAF" w:rsidRDefault="00BF4B80">
      <w:pPr>
        <w:pStyle w:val="Heading4"/>
        <w:rPr>
          <w:b w:val="0"/>
        </w:rPr>
      </w:pPr>
      <w:r>
        <w:rPr>
          <w:b w:val="0"/>
        </w:rPr>
        <w:t xml:space="preserve">Mattia Cacciatori </w:t>
      </w:r>
    </w:p>
    <w:p w14:paraId="02536C8E" w14:textId="77777777" w:rsidR="00EA1EAF" w:rsidRDefault="00BF4B80">
      <w:pPr>
        <w:pStyle w:val="Heading4"/>
        <w:rPr>
          <w:b w:val="0"/>
        </w:rPr>
      </w:pPr>
      <w:r>
        <w:rPr>
          <w:b w:val="0"/>
        </w:rPr>
        <w:t xml:space="preserve">Jo Charles </w:t>
      </w:r>
    </w:p>
    <w:p w14:paraId="55784659" w14:textId="77777777" w:rsidR="00EA1EAF" w:rsidRDefault="00BF4B80">
      <w:pPr>
        <w:pStyle w:val="Heading4"/>
        <w:rPr>
          <w:b w:val="0"/>
        </w:rPr>
      </w:pPr>
      <w:r>
        <w:rPr>
          <w:b w:val="0"/>
        </w:rPr>
        <w:t xml:space="preserve">Tu Anh Do </w:t>
      </w:r>
    </w:p>
    <w:p w14:paraId="022F981C" w14:textId="77777777" w:rsidR="00EA1EAF" w:rsidRDefault="00BF4B80">
      <w:pPr>
        <w:pStyle w:val="Heading4"/>
        <w:rPr>
          <w:b w:val="0"/>
        </w:rPr>
      </w:pPr>
      <w:r>
        <w:rPr>
          <w:b w:val="0"/>
        </w:rPr>
        <w:t xml:space="preserve">Rhiannon Edwards </w:t>
      </w:r>
    </w:p>
    <w:p w14:paraId="76EB1122" w14:textId="77777777" w:rsidR="00EA1EAF" w:rsidRDefault="00BF4B80">
      <w:pPr>
        <w:pStyle w:val="Heading4"/>
        <w:rPr>
          <w:b w:val="0"/>
        </w:rPr>
      </w:pPr>
      <w:r>
        <w:rPr>
          <w:b w:val="0"/>
        </w:rPr>
        <w:t xml:space="preserve">James Fern </w:t>
      </w:r>
    </w:p>
    <w:p w14:paraId="32FD3094" w14:textId="77777777" w:rsidR="00EA1EAF" w:rsidRDefault="00BF4B80">
      <w:pPr>
        <w:pStyle w:val="Heading4"/>
        <w:rPr>
          <w:b w:val="0"/>
        </w:rPr>
      </w:pPr>
      <w:r>
        <w:rPr>
          <w:b w:val="0"/>
        </w:rPr>
        <w:t xml:space="preserve">Gail Forey </w:t>
      </w:r>
    </w:p>
    <w:p w14:paraId="363D6579" w14:textId="77777777" w:rsidR="00EA1EAF" w:rsidRDefault="00BF4B80">
      <w:pPr>
        <w:pStyle w:val="Heading4"/>
        <w:rPr>
          <w:b w:val="0"/>
        </w:rPr>
      </w:pPr>
      <w:r>
        <w:rPr>
          <w:b w:val="0"/>
        </w:rPr>
        <w:t xml:space="preserve">MariCarmen Gil Ortega </w:t>
      </w:r>
    </w:p>
    <w:p w14:paraId="6C6AA646" w14:textId="77777777" w:rsidR="00EA1EAF" w:rsidRDefault="00BF4B80">
      <w:pPr>
        <w:pStyle w:val="Heading4"/>
        <w:rPr>
          <w:b w:val="0"/>
        </w:rPr>
      </w:pPr>
      <w:r>
        <w:rPr>
          <w:b w:val="0"/>
        </w:rPr>
        <w:t xml:space="preserve">Richard Mason </w:t>
      </w:r>
    </w:p>
    <w:p w14:paraId="5279CB08" w14:textId="77777777" w:rsidR="00EA1EAF" w:rsidRDefault="00BF4B80">
      <w:pPr>
        <w:pStyle w:val="Heading4"/>
        <w:rPr>
          <w:b w:val="0"/>
        </w:rPr>
      </w:pPr>
      <w:r>
        <w:rPr>
          <w:b w:val="0"/>
        </w:rPr>
        <w:t xml:space="preserve">Ed Mason </w:t>
      </w:r>
    </w:p>
    <w:p w14:paraId="256ED8A3" w14:textId="77777777" w:rsidR="00EA1EAF" w:rsidRDefault="00BF4B80">
      <w:pPr>
        <w:pStyle w:val="Heading4"/>
        <w:rPr>
          <w:b w:val="0"/>
        </w:rPr>
      </w:pPr>
      <w:r>
        <w:rPr>
          <w:b w:val="0"/>
        </w:rPr>
        <w:t xml:space="preserve">Lucy Noble </w:t>
      </w:r>
    </w:p>
    <w:p w14:paraId="287999D1" w14:textId="77777777" w:rsidR="00EA1EAF" w:rsidRDefault="00BF4B80">
      <w:pPr>
        <w:pStyle w:val="Heading4"/>
        <w:rPr>
          <w:b w:val="0"/>
        </w:rPr>
      </w:pPr>
      <w:r>
        <w:rPr>
          <w:b w:val="0"/>
        </w:rPr>
        <w:t xml:space="preserve">Nikolaos Sakkas </w:t>
      </w:r>
    </w:p>
    <w:p w14:paraId="5C0EAE08" w14:textId="77777777" w:rsidR="00EA1EAF" w:rsidRDefault="00BF4B80">
      <w:pPr>
        <w:pStyle w:val="Heading4"/>
        <w:rPr>
          <w:b w:val="0"/>
        </w:rPr>
      </w:pPr>
      <w:r>
        <w:rPr>
          <w:b w:val="0"/>
        </w:rPr>
        <w:t xml:space="preserve">Christel Schneider </w:t>
      </w:r>
    </w:p>
    <w:p w14:paraId="3A375135" w14:textId="77777777" w:rsidR="00EA1EAF" w:rsidRDefault="00BF4B80">
      <w:pPr>
        <w:pStyle w:val="Heading4"/>
        <w:rPr>
          <w:b w:val="0"/>
        </w:rPr>
      </w:pPr>
      <w:r>
        <w:rPr>
          <w:b w:val="0"/>
        </w:rPr>
        <w:t xml:space="preserve">Oliver Walton </w:t>
      </w:r>
    </w:p>
    <w:p w14:paraId="77333218" w14:textId="77777777" w:rsidR="00EA1EAF" w:rsidRDefault="00BF4B80">
      <w:pPr>
        <w:pStyle w:val="Heading4"/>
        <w:rPr>
          <w:b w:val="0"/>
        </w:rPr>
      </w:pPr>
      <w:r>
        <w:rPr>
          <w:b w:val="0"/>
        </w:rPr>
        <w:t xml:space="preserve">Sophia Ward </w:t>
      </w:r>
    </w:p>
    <w:p w14:paraId="0215CCBE" w14:textId="77777777" w:rsidR="00EA1EAF" w:rsidRDefault="00BF4B80">
      <w:pPr>
        <w:pStyle w:val="Heading4"/>
        <w:rPr>
          <w:b w:val="0"/>
        </w:rPr>
      </w:pPr>
      <w:r>
        <w:rPr>
          <w:b w:val="0"/>
        </w:rPr>
        <w:t xml:space="preserve">Elise Whittleton </w:t>
      </w:r>
    </w:p>
    <w:p w14:paraId="195C389E" w14:textId="77777777" w:rsidR="00EA1EAF" w:rsidRDefault="00EA1EAF">
      <w:pPr>
        <w:pStyle w:val="BodyText"/>
      </w:pPr>
    </w:p>
    <w:p w14:paraId="01F4C398" w14:textId="7CAEC9CF" w:rsidR="00EA1EAF" w:rsidRDefault="00EB160F">
      <w:pPr>
        <w:pStyle w:val="Heading4"/>
      </w:pPr>
      <w:r>
        <w:lastRenderedPageBreak/>
        <w:t>Apologies</w:t>
      </w:r>
    </w:p>
    <w:p w14:paraId="26005F8F" w14:textId="77777777" w:rsidR="00EA1EAF" w:rsidRDefault="00BF4B80">
      <w:pPr>
        <w:pStyle w:val="Heading4"/>
        <w:rPr>
          <w:b w:val="0"/>
        </w:rPr>
      </w:pPr>
      <w:r>
        <w:rPr>
          <w:b w:val="0"/>
        </w:rPr>
        <w:t xml:space="preserve">Rachel Acres </w:t>
      </w:r>
    </w:p>
    <w:p w14:paraId="775EB369" w14:textId="77777777" w:rsidR="00EA1EAF" w:rsidRDefault="00BF4B80">
      <w:pPr>
        <w:pStyle w:val="Heading4"/>
        <w:rPr>
          <w:b w:val="0"/>
        </w:rPr>
      </w:pPr>
      <w:r>
        <w:rPr>
          <w:b w:val="0"/>
        </w:rPr>
        <w:t xml:space="preserve">Florin Bisset </w:t>
      </w:r>
    </w:p>
    <w:p w14:paraId="0715B869" w14:textId="77777777" w:rsidR="00EA1EAF" w:rsidRDefault="00BF4B80">
      <w:pPr>
        <w:pStyle w:val="Heading4"/>
        <w:rPr>
          <w:b w:val="0"/>
        </w:rPr>
      </w:pPr>
      <w:r>
        <w:rPr>
          <w:b w:val="0"/>
        </w:rPr>
        <w:t xml:space="preserve">Maria Clutterbuck </w:t>
      </w:r>
    </w:p>
    <w:p w14:paraId="675051F5" w14:textId="77777777" w:rsidR="00EA1EAF" w:rsidRDefault="00BF4B80">
      <w:pPr>
        <w:pStyle w:val="Heading4"/>
        <w:rPr>
          <w:b w:val="0"/>
        </w:rPr>
      </w:pPr>
      <w:r>
        <w:rPr>
          <w:b w:val="0"/>
        </w:rPr>
        <w:t xml:space="preserve">Samantha Curle </w:t>
      </w:r>
    </w:p>
    <w:p w14:paraId="0F651E97" w14:textId="77777777" w:rsidR="00EA1EAF" w:rsidRDefault="00BF4B80">
      <w:pPr>
        <w:pStyle w:val="Heading4"/>
        <w:rPr>
          <w:b w:val="0"/>
        </w:rPr>
      </w:pPr>
      <w:r>
        <w:rPr>
          <w:b w:val="0"/>
        </w:rPr>
        <w:t xml:space="preserve">Matteo De Tina </w:t>
      </w:r>
    </w:p>
    <w:p w14:paraId="355340A0" w14:textId="77777777" w:rsidR="00EA1EAF" w:rsidRDefault="00BF4B80">
      <w:pPr>
        <w:pStyle w:val="Heading4"/>
        <w:rPr>
          <w:b w:val="0"/>
        </w:rPr>
      </w:pPr>
      <w:r>
        <w:rPr>
          <w:b w:val="0"/>
        </w:rPr>
        <w:t xml:space="preserve">Ella Gibbs </w:t>
      </w:r>
    </w:p>
    <w:p w14:paraId="55E315B0" w14:textId="77777777" w:rsidR="00EA1EAF" w:rsidRDefault="00BF4B80">
      <w:pPr>
        <w:pStyle w:val="Heading4"/>
        <w:rPr>
          <w:b w:val="0"/>
        </w:rPr>
      </w:pPr>
      <w:r>
        <w:rPr>
          <w:b w:val="0"/>
        </w:rPr>
        <w:t xml:space="preserve">Chris Goff </w:t>
      </w:r>
    </w:p>
    <w:p w14:paraId="03C3D96F" w14:textId="77777777" w:rsidR="00EA1EAF" w:rsidRDefault="00BF4B80">
      <w:pPr>
        <w:pStyle w:val="Heading4"/>
        <w:rPr>
          <w:b w:val="0"/>
        </w:rPr>
      </w:pPr>
      <w:r>
        <w:rPr>
          <w:b w:val="0"/>
        </w:rPr>
        <w:t xml:space="preserve">Dan Ile </w:t>
      </w:r>
    </w:p>
    <w:p w14:paraId="0B79184C" w14:textId="77777777" w:rsidR="00EA1EAF" w:rsidRDefault="00BF4B80">
      <w:pPr>
        <w:pStyle w:val="Heading4"/>
        <w:rPr>
          <w:b w:val="0"/>
        </w:rPr>
      </w:pPr>
      <w:r>
        <w:rPr>
          <w:b w:val="0"/>
        </w:rPr>
        <w:t xml:space="preserve">Helen Lofkin </w:t>
      </w:r>
    </w:p>
    <w:p w14:paraId="3FA5CC17" w14:textId="77777777" w:rsidR="00EA1EAF" w:rsidRDefault="00BF4B80">
      <w:pPr>
        <w:pStyle w:val="Heading4"/>
        <w:rPr>
          <w:b w:val="0"/>
        </w:rPr>
      </w:pPr>
      <w:r>
        <w:rPr>
          <w:b w:val="0"/>
        </w:rPr>
        <w:t xml:space="preserve">Arshiya Sachdeva </w:t>
      </w:r>
    </w:p>
    <w:p w14:paraId="569355D6" w14:textId="77777777" w:rsidR="00EA1EAF" w:rsidRDefault="00BF4B80">
      <w:pPr>
        <w:pStyle w:val="Heading4"/>
        <w:rPr>
          <w:b w:val="0"/>
        </w:rPr>
      </w:pPr>
      <w:r>
        <w:rPr>
          <w:b w:val="0"/>
        </w:rPr>
        <w:t xml:space="preserve">Emma Scrase </w:t>
      </w:r>
    </w:p>
    <w:p w14:paraId="6D50D785" w14:textId="77777777" w:rsidR="00EA1EAF" w:rsidRDefault="00BF4B80">
      <w:pPr>
        <w:pStyle w:val="Heading4"/>
        <w:rPr>
          <w:b w:val="0"/>
        </w:rPr>
      </w:pPr>
      <w:r>
        <w:rPr>
          <w:b w:val="0"/>
        </w:rPr>
        <w:t xml:space="preserve">Annika Theilgaard </w:t>
      </w:r>
    </w:p>
    <w:p w14:paraId="5168EEEB" w14:textId="77777777" w:rsidR="00EA1EAF" w:rsidRDefault="00EA1EAF">
      <w:pPr>
        <w:pStyle w:val="BodyText"/>
      </w:pPr>
    </w:p>
    <w:p w14:paraId="41A292E6" w14:textId="77777777" w:rsidR="00EA1EAF" w:rsidRDefault="00BF4B80">
      <w:pPr>
        <w:pStyle w:val="Heading2"/>
      </w:pPr>
      <w:r>
        <w:t>1019.0 Agenda and Notice of Meeting</w:t>
      </w:r>
    </w:p>
    <w:p w14:paraId="7E761B36" w14:textId="77777777" w:rsidR="00EA1EAF" w:rsidRDefault="00EA1EAF">
      <w:pPr>
        <w:pStyle w:val="HorizontalLine"/>
      </w:pPr>
    </w:p>
    <w:p w14:paraId="13FEEF4A" w14:textId="77777777" w:rsidR="00EA1EAF" w:rsidRDefault="00EA1EAF">
      <w:pPr>
        <w:pStyle w:val="BodyText"/>
      </w:pPr>
    </w:p>
    <w:p w14:paraId="362EA959" w14:textId="77777777" w:rsidR="00EA1EAF" w:rsidRDefault="00BF4B80">
      <w:pPr>
        <w:pStyle w:val="Heading2"/>
      </w:pPr>
      <w:r>
        <w:t>1020.0 Welcome</w:t>
      </w:r>
    </w:p>
    <w:p w14:paraId="6A41349D" w14:textId="77777777" w:rsidR="00EA1EAF" w:rsidRDefault="00EA1EAF">
      <w:pPr>
        <w:pStyle w:val="HorizontalLine"/>
      </w:pPr>
    </w:p>
    <w:p w14:paraId="7DA396AA" w14:textId="77777777" w:rsidR="00EA1EAF" w:rsidRDefault="00BF4B80">
      <w:pPr>
        <w:pStyle w:val="BodyText"/>
      </w:pPr>
      <w:r>
        <w:t>The Chair welcomed members and attendees who were attending their first committee meeting.</w:t>
      </w:r>
    </w:p>
    <w:p w14:paraId="07D7E18F" w14:textId="77777777" w:rsidR="00EA1EAF" w:rsidRDefault="00EA1EAF">
      <w:pPr>
        <w:pStyle w:val="BodyText"/>
        <w:spacing w:after="0"/>
      </w:pPr>
    </w:p>
    <w:p w14:paraId="7FF4F0B4" w14:textId="77777777" w:rsidR="00EA1EAF" w:rsidRDefault="00EA1EAF">
      <w:pPr>
        <w:pStyle w:val="BodyText"/>
      </w:pPr>
    </w:p>
    <w:p w14:paraId="72C32DB6" w14:textId="77777777" w:rsidR="00EA1EAF" w:rsidRDefault="00BF4B80">
      <w:pPr>
        <w:pStyle w:val="Heading2"/>
      </w:pPr>
      <w:r>
        <w:t>1021.0 Declarations of Interest</w:t>
      </w:r>
    </w:p>
    <w:p w14:paraId="3853ED05" w14:textId="77777777" w:rsidR="00EA1EAF" w:rsidRDefault="00EA1EAF">
      <w:pPr>
        <w:pStyle w:val="HorizontalLine"/>
      </w:pPr>
    </w:p>
    <w:p w14:paraId="55874BCE" w14:textId="77777777" w:rsidR="00EA1EAF" w:rsidRDefault="00BF4B80">
      <w:pPr>
        <w:pStyle w:val="BodyText"/>
      </w:pPr>
      <w:r>
        <w:t>No member declared any conflict of interest.</w:t>
      </w:r>
    </w:p>
    <w:p w14:paraId="42740157" w14:textId="77777777" w:rsidR="00EA1EAF" w:rsidRDefault="00EA1EAF">
      <w:pPr>
        <w:pStyle w:val="BodyText"/>
        <w:spacing w:after="0"/>
      </w:pPr>
    </w:p>
    <w:p w14:paraId="776448D5" w14:textId="77777777" w:rsidR="00EA1EAF" w:rsidRDefault="00EA1EAF">
      <w:pPr>
        <w:pStyle w:val="BodyText"/>
      </w:pPr>
    </w:p>
    <w:p w14:paraId="5D4B189A" w14:textId="77777777" w:rsidR="00EA1EAF" w:rsidRDefault="00BF4B80">
      <w:pPr>
        <w:pStyle w:val="Heading2"/>
      </w:pPr>
      <w:r>
        <w:t>1022.0 Minutes of the Previous Meeting</w:t>
      </w:r>
    </w:p>
    <w:p w14:paraId="64DA6447" w14:textId="77777777" w:rsidR="00EA1EAF" w:rsidRDefault="00EA1EAF">
      <w:pPr>
        <w:pStyle w:val="HorizontalLine"/>
      </w:pPr>
    </w:p>
    <w:p w14:paraId="44FFC3E0" w14:textId="77777777" w:rsidR="00EA1EAF" w:rsidRDefault="00BF4B80">
      <w:pPr>
        <w:pStyle w:val="BodyText"/>
      </w:pPr>
      <w:r>
        <w:t>The committee approved the minutes of the meeting held on 23 April 2025.</w:t>
      </w:r>
    </w:p>
    <w:p w14:paraId="230A4C68" w14:textId="77777777" w:rsidR="00EA1EAF" w:rsidRDefault="00EA1EAF">
      <w:pPr>
        <w:pStyle w:val="BodyText"/>
        <w:spacing w:after="0"/>
      </w:pPr>
    </w:p>
    <w:p w14:paraId="5D21F810" w14:textId="77777777" w:rsidR="00EA1EAF" w:rsidRDefault="00EA1EAF">
      <w:pPr>
        <w:pStyle w:val="BodyText"/>
      </w:pPr>
    </w:p>
    <w:p w14:paraId="7B36662F" w14:textId="77777777" w:rsidR="00EA1EAF" w:rsidRDefault="00BF4B80">
      <w:pPr>
        <w:pStyle w:val="Heading2"/>
      </w:pPr>
      <w:r>
        <w:t>1023.0 Actions and Matters Arising</w:t>
      </w:r>
    </w:p>
    <w:p w14:paraId="6C2AE8C8" w14:textId="77777777" w:rsidR="00EA1EAF" w:rsidRDefault="00EA1EAF">
      <w:pPr>
        <w:pStyle w:val="HorizontalLine"/>
      </w:pPr>
    </w:p>
    <w:p w14:paraId="0B3C2492" w14:textId="197519DD" w:rsidR="00EA1EAF" w:rsidRDefault="00BF4B80">
      <w:pPr>
        <w:pStyle w:val="BodyText"/>
      </w:pPr>
      <w:r>
        <w:t xml:space="preserve">The committee noted the actions </w:t>
      </w:r>
      <w:r w:rsidR="009E6C21">
        <w:t>from matter’s arising that are ongoing</w:t>
      </w:r>
      <w:r>
        <w:t>. </w:t>
      </w:r>
    </w:p>
    <w:p w14:paraId="1D53BC39" w14:textId="77777777" w:rsidR="00EA1EAF" w:rsidRDefault="00EA1EAF">
      <w:pPr>
        <w:pStyle w:val="BodyText"/>
        <w:spacing w:after="0"/>
      </w:pPr>
    </w:p>
    <w:p w14:paraId="30689F9D" w14:textId="77777777" w:rsidR="00EA1EAF" w:rsidRDefault="00EA1EAF">
      <w:pPr>
        <w:pStyle w:val="BodyText"/>
      </w:pPr>
    </w:p>
    <w:p w14:paraId="38C019C2" w14:textId="77777777" w:rsidR="00EA1EAF" w:rsidRDefault="00BF4B80">
      <w:pPr>
        <w:pStyle w:val="Heading2"/>
      </w:pPr>
      <w:r>
        <w:t>1024.0 Chair's Business</w:t>
      </w:r>
    </w:p>
    <w:p w14:paraId="3C2B4083" w14:textId="77777777" w:rsidR="00EA1EAF" w:rsidRDefault="00EA1EAF">
      <w:pPr>
        <w:pStyle w:val="HorizontalLine"/>
      </w:pPr>
    </w:p>
    <w:p w14:paraId="07810E2A" w14:textId="2A3D23E4" w:rsidR="00EA1EAF" w:rsidRPr="00EB160F" w:rsidRDefault="00BF4B80">
      <w:pPr>
        <w:pStyle w:val="BodyText"/>
        <w:rPr>
          <w:b/>
        </w:rPr>
      </w:pPr>
      <w:r>
        <w:rPr>
          <w:b/>
        </w:rPr>
        <w:t xml:space="preserve">1. Exam Feedback Expectations </w:t>
      </w:r>
    </w:p>
    <w:p w14:paraId="62F404DE" w14:textId="608040B6" w:rsidR="00EA1EAF" w:rsidRDefault="00BF4B80">
      <w:pPr>
        <w:pStyle w:val="BodyText"/>
      </w:pPr>
      <w:r>
        <w:t>The</w:t>
      </w:r>
      <w:r w:rsidR="009E6C21">
        <w:t xml:space="preserve"> Chair updated members on discussions surrounding feedback policy. The</w:t>
      </w:r>
      <w:r>
        <w:t xml:space="preserve"> current expectation for returning feedback is within three semester working weeks, </w:t>
      </w:r>
      <w:r w:rsidR="009E6C21">
        <w:t xml:space="preserve">but the Chair informed the committee a proposal was being submitted to EQSC to revised this to </w:t>
      </w:r>
      <w:r>
        <w:t xml:space="preserve">15 working days, excluding University closures and bank holidays. </w:t>
      </w:r>
    </w:p>
    <w:p w14:paraId="2C96E0C4" w14:textId="333F7F94" w:rsidR="00EA1EAF" w:rsidRDefault="009E6C21">
      <w:pPr>
        <w:pStyle w:val="BodyText"/>
      </w:pPr>
      <w:r>
        <w:t>During discussion c</w:t>
      </w:r>
      <w:r w:rsidR="00BF4B80">
        <w:t>oncerns were raised regarding ambiguity in interpreting "15 working days." It was recommended that staff communicate specific return dates to students rather than referencing the timeframe, to avoid misinterpretation.</w:t>
      </w:r>
    </w:p>
    <w:p w14:paraId="42F35534" w14:textId="260E151A" w:rsidR="00EA1EAF" w:rsidRDefault="009E6C21">
      <w:pPr>
        <w:pStyle w:val="BodyText"/>
      </w:pPr>
      <w:r>
        <w:t>It was confirmed by the Chair that f</w:t>
      </w:r>
      <w:r w:rsidR="00BF4B80">
        <w:t xml:space="preserve">or part-time staff, the 15-day timeframe is based on a full-time working pattern. Where this cannot be met, staff must inform students clearly of when feedback will be returned. </w:t>
      </w:r>
    </w:p>
    <w:p w14:paraId="0C1888BB" w14:textId="327480E1" w:rsidR="00EA1EAF" w:rsidRDefault="009E6C21">
      <w:pPr>
        <w:pStyle w:val="BodyText"/>
      </w:pPr>
      <w:r>
        <w:t xml:space="preserve">The Chair confirmed </w:t>
      </w:r>
      <w:r w:rsidR="0001418D">
        <w:t>that</w:t>
      </w:r>
      <w:r w:rsidR="00BF4B80">
        <w:t xml:space="preserve"> Directors of Studies (</w:t>
      </w:r>
      <w:proofErr w:type="spellStart"/>
      <w:r w:rsidR="00BF4B80">
        <w:t>DoSs</w:t>
      </w:r>
      <w:proofErr w:type="spellEnd"/>
      <w:r w:rsidR="00BF4B80">
        <w:t>) and Heads of Department (</w:t>
      </w:r>
      <w:proofErr w:type="spellStart"/>
      <w:r w:rsidR="00BF4B80">
        <w:t>HoDs</w:t>
      </w:r>
      <w:proofErr w:type="spellEnd"/>
      <w:r w:rsidR="00BF4B80">
        <w:t>) take responsibility for ensuring feedback deadlines are met, particularly in cases of large cohorts or where part-time staffing may cause delays. This may involve allocating additional marking resources.</w:t>
      </w:r>
    </w:p>
    <w:p w14:paraId="2442236F" w14:textId="77777777" w:rsidR="00EA1EAF" w:rsidRDefault="00EA1EAF">
      <w:pPr>
        <w:pStyle w:val="BodyText"/>
      </w:pPr>
    </w:p>
    <w:p w14:paraId="3C2F785D" w14:textId="416DA336" w:rsidR="00EA1EAF" w:rsidRPr="00EB160F" w:rsidRDefault="00BF4B80">
      <w:pPr>
        <w:pStyle w:val="BodyText"/>
        <w:rPr>
          <w:b/>
        </w:rPr>
      </w:pPr>
      <w:r>
        <w:rPr>
          <w:b/>
        </w:rPr>
        <w:t xml:space="preserve">2. Curriculum Planner switchover </w:t>
      </w:r>
    </w:p>
    <w:p w14:paraId="42598B62" w14:textId="261B31E6" w:rsidR="00EA1EAF" w:rsidRDefault="00BF4B80">
      <w:pPr>
        <w:pStyle w:val="BodyText"/>
      </w:pPr>
      <w:r>
        <w:t>It was reported that a new version of the Curriculum Planner system will be implemented for the next academic year. As a result, the system will be offline for the entire month of July 2025 and any final changes or amendments must be completed and approved by 30 June 2025.</w:t>
      </w:r>
    </w:p>
    <w:p w14:paraId="04B6E6D6" w14:textId="3ED0EC9B" w:rsidR="00EA1EAF" w:rsidRDefault="00BF4B80">
      <w:pPr>
        <w:pStyle w:val="BodyText"/>
      </w:pPr>
      <w:r>
        <w:t>A final check will be conducted to ensure no pending changes are lost.</w:t>
      </w:r>
    </w:p>
    <w:p w14:paraId="74124E81" w14:textId="77777777" w:rsidR="00EB160F" w:rsidRDefault="00EB160F">
      <w:pPr>
        <w:pStyle w:val="BodyText"/>
      </w:pPr>
    </w:p>
    <w:p w14:paraId="77C246DA" w14:textId="510E4B70" w:rsidR="00EA1EAF" w:rsidRDefault="00BF4B80">
      <w:pPr>
        <w:pStyle w:val="Heading4"/>
        <w:rPr>
          <w:b w:val="0"/>
        </w:rPr>
      </w:pPr>
      <w:r>
        <w:t>Action</w:t>
      </w:r>
      <w:r>
        <w:rPr>
          <w:b w:val="0"/>
        </w:rPr>
        <w:t xml:space="preserve"> </w:t>
      </w:r>
    </w:p>
    <w:p w14:paraId="73251DD9" w14:textId="6D07A40F" w:rsidR="00EA1EAF" w:rsidRDefault="00BF4B80">
      <w:pPr>
        <w:pStyle w:val="BodyText"/>
      </w:pPr>
      <w:r>
        <w:t xml:space="preserve">To </w:t>
      </w:r>
      <w:proofErr w:type="spellStart"/>
      <w:r>
        <w:t>finalise</w:t>
      </w:r>
      <w:proofErr w:type="spellEnd"/>
      <w:r>
        <w:t xml:space="preserve"> unit/ course changes on Curriculum Planner </w:t>
      </w:r>
    </w:p>
    <w:p w14:paraId="2D4CC7BE" w14:textId="6C15C69D" w:rsidR="00EA1EAF" w:rsidRDefault="00BF4B80">
      <w:pPr>
        <w:pStyle w:val="BodyText"/>
      </w:pPr>
      <w:r>
        <w:t xml:space="preserve">Action Status - Not Started   |   Due by - 30 Jun 2025   |   Assigned to </w:t>
      </w:r>
      <w:r w:rsidR="00520958">
        <w:t>–</w:t>
      </w:r>
      <w:r>
        <w:t xml:space="preserve"> </w:t>
      </w:r>
      <w:r w:rsidR="00520958">
        <w:t>Tu Anh Do</w:t>
      </w:r>
      <w:r>
        <w:t xml:space="preserve"> </w:t>
      </w:r>
    </w:p>
    <w:p w14:paraId="75979492" w14:textId="77777777" w:rsidR="00EA1EAF" w:rsidRDefault="00EA1EAF">
      <w:pPr>
        <w:pStyle w:val="BodyText"/>
      </w:pPr>
    </w:p>
    <w:p w14:paraId="532B88FE" w14:textId="592DB4C8" w:rsidR="00EA1EAF" w:rsidRDefault="00BF4B80">
      <w:pPr>
        <w:pStyle w:val="Heading4"/>
        <w:rPr>
          <w:b w:val="0"/>
        </w:rPr>
      </w:pPr>
      <w:r>
        <w:t>Action</w:t>
      </w:r>
      <w:r>
        <w:rPr>
          <w:b w:val="0"/>
        </w:rPr>
        <w:t xml:space="preserve"> </w:t>
      </w:r>
    </w:p>
    <w:p w14:paraId="48335E1A" w14:textId="58C6B486" w:rsidR="00EA1EAF" w:rsidRDefault="00BF4B80">
      <w:pPr>
        <w:pStyle w:val="BodyText"/>
      </w:pPr>
      <w:r>
        <w:t xml:space="preserve">To coordinate a check of outstanding changes on CP and send a reminder to Programme Officers </w:t>
      </w:r>
    </w:p>
    <w:p w14:paraId="2A649D27" w14:textId="448A23D1" w:rsidR="00EA1EAF" w:rsidRDefault="00BF4B80">
      <w:pPr>
        <w:pStyle w:val="BodyText"/>
      </w:pPr>
      <w:r>
        <w:t xml:space="preserve">Action Status - Not Started   |   Due by - 30 Jun 2025   |   Assigned to </w:t>
      </w:r>
      <w:r w:rsidR="00EB160F">
        <w:t>–</w:t>
      </w:r>
      <w:r>
        <w:t xml:space="preserve"> </w:t>
      </w:r>
      <w:r w:rsidR="00EB160F">
        <w:t>Sophia Ward</w:t>
      </w:r>
    </w:p>
    <w:p w14:paraId="66ED7E48" w14:textId="77777777" w:rsidR="00EA1EAF" w:rsidRDefault="00EA1EAF">
      <w:pPr>
        <w:pStyle w:val="BodyText"/>
      </w:pPr>
    </w:p>
    <w:p w14:paraId="401280C6" w14:textId="77777777" w:rsidR="00EA1EAF" w:rsidRDefault="00BF4B80">
      <w:pPr>
        <w:pStyle w:val="Heading2"/>
      </w:pPr>
      <w:r>
        <w:lastRenderedPageBreak/>
        <w:t>1025.0 Assessment and Feedback Business</w:t>
      </w:r>
    </w:p>
    <w:p w14:paraId="20E305FF" w14:textId="77777777" w:rsidR="00EA1EAF" w:rsidRDefault="00EA1EAF">
      <w:pPr>
        <w:pStyle w:val="HorizontalLine"/>
      </w:pPr>
    </w:p>
    <w:p w14:paraId="5E62310E" w14:textId="7A39A293" w:rsidR="00EA1EAF" w:rsidRDefault="009E6C21">
      <w:pPr>
        <w:pStyle w:val="BodyText"/>
      </w:pPr>
      <w:r>
        <w:t xml:space="preserve">The committee received an update from the Faculty Assessment and Feedback leads. </w:t>
      </w:r>
      <w:r w:rsidR="00BF4B80">
        <w:t xml:space="preserve">A cross-departmental working group developed the initial draft of the </w:t>
      </w:r>
      <w:r>
        <w:t>Undergraduate Faculty</w:t>
      </w:r>
      <w:r w:rsidR="00BF4B80">
        <w:t xml:space="preserve">-level </w:t>
      </w:r>
      <w:r>
        <w:t>Assessment Criteria</w:t>
      </w:r>
      <w:r w:rsidR="00BF4B80">
        <w:t xml:space="preserve">, which was shared with departments and DLTQCs for feedback. Following this, amendments were </w:t>
      </w:r>
      <w:r>
        <w:t>made,</w:t>
      </w:r>
      <w:r w:rsidR="00BF4B80">
        <w:t xml:space="preserve"> and further revisions are in progress. The updated version will be recirculated to Directors of Teaching (DoTs) for final comments before being submitted to FLTQC in July 2025 for approval.</w:t>
      </w:r>
    </w:p>
    <w:p w14:paraId="51DDC11A" w14:textId="1C7F2401" w:rsidR="00EA1EAF" w:rsidRDefault="00BF4B80">
      <w:pPr>
        <w:pStyle w:val="BodyText"/>
      </w:pPr>
      <w:r>
        <w:t>To support implementation, the A&amp;F team has asked departments to share proposed dates and preferences for implementation discussions, ideally before staff leave for the summer.</w:t>
      </w:r>
      <w:r w:rsidR="005C04A4">
        <w:t xml:space="preserve"> The committee agreed that UG implementation will require more structured guidance and exemplars.</w:t>
      </w:r>
    </w:p>
    <w:p w14:paraId="2ABDF595" w14:textId="6D6A5F8E" w:rsidR="009E6C21" w:rsidRDefault="009E6C21">
      <w:pPr>
        <w:pStyle w:val="BodyText"/>
      </w:pPr>
      <w:r>
        <w:t>Departmental specific updates included:</w:t>
      </w:r>
    </w:p>
    <w:p w14:paraId="13EB9AB4" w14:textId="77777777" w:rsidR="0001418D" w:rsidRDefault="00BF4B80" w:rsidP="0001418D">
      <w:pPr>
        <w:pStyle w:val="BodyText"/>
        <w:numPr>
          <w:ilvl w:val="0"/>
          <w:numId w:val="7"/>
        </w:numPr>
      </w:pPr>
      <w:r>
        <w:t>PoLIS is developing structured assessment brief templates by year and assessment type to guide unit convenors and ensure consistency.</w:t>
      </w:r>
    </w:p>
    <w:p w14:paraId="18C06A11" w14:textId="5CC530BD" w:rsidR="005C04A4" w:rsidRDefault="00BF4B80" w:rsidP="0001418D">
      <w:pPr>
        <w:pStyle w:val="BodyText"/>
        <w:numPr>
          <w:ilvl w:val="0"/>
          <w:numId w:val="7"/>
        </w:numPr>
      </w:pPr>
      <w:r>
        <w:t>Economics has requested the inclusion of two subject-specific criteria for exam-based assessments, noting the limitations of existing criteria for timed exams. This feedback is under review.</w:t>
      </w:r>
      <w:r w:rsidR="005C04A4" w:rsidRPr="005C04A4">
        <w:t xml:space="preserve"> </w:t>
      </w:r>
    </w:p>
    <w:p w14:paraId="677BD392" w14:textId="2D89C111" w:rsidR="00EA1EAF" w:rsidRDefault="005C04A4" w:rsidP="0001418D">
      <w:pPr>
        <w:pStyle w:val="BodyText"/>
        <w:numPr>
          <w:ilvl w:val="0"/>
          <w:numId w:val="7"/>
        </w:numPr>
      </w:pPr>
      <w:r>
        <w:t>Psychology is also expected to introduce departmental criteria for specific assessment types.</w:t>
      </w:r>
    </w:p>
    <w:p w14:paraId="5DA1C5D5" w14:textId="159D1E41" w:rsidR="00EA1EAF" w:rsidRDefault="005C04A4">
      <w:pPr>
        <w:pStyle w:val="BodyText"/>
      </w:pPr>
      <w:r>
        <w:t>It was noted that t</w:t>
      </w:r>
      <w:r w:rsidR="00BF4B80">
        <w:t>he A&amp;F team will present the co-development process of the PGT criteria at the upcoming Advance HE event.</w:t>
      </w:r>
    </w:p>
    <w:p w14:paraId="222F72B1" w14:textId="77777777" w:rsidR="00EA1EAF" w:rsidRDefault="00EA1EAF">
      <w:pPr>
        <w:pStyle w:val="BodyText"/>
      </w:pPr>
    </w:p>
    <w:p w14:paraId="114FC2E0" w14:textId="4F7DCF0E" w:rsidR="00EA1EAF" w:rsidRDefault="00BF4B80">
      <w:pPr>
        <w:pStyle w:val="Heading4"/>
        <w:rPr>
          <w:b w:val="0"/>
        </w:rPr>
      </w:pPr>
      <w:r>
        <w:t>Action</w:t>
      </w:r>
      <w:r>
        <w:rPr>
          <w:b w:val="0"/>
        </w:rPr>
        <w:t xml:space="preserve"> </w:t>
      </w:r>
    </w:p>
    <w:p w14:paraId="3BF3C54C" w14:textId="338B53F6" w:rsidR="00EA1EAF" w:rsidRDefault="00BF4B80">
      <w:pPr>
        <w:pStyle w:val="BodyText"/>
      </w:pPr>
      <w:r>
        <w:t xml:space="preserve">To contact A&amp;F with implementation needs for UG assessment criteria roll-out </w:t>
      </w:r>
    </w:p>
    <w:p w14:paraId="0E69EAA3" w14:textId="3B2C291C" w:rsidR="00EA1EAF" w:rsidRDefault="00BF4B80">
      <w:pPr>
        <w:pStyle w:val="BodyText"/>
      </w:pPr>
      <w:r>
        <w:t xml:space="preserve">Action Status - Not Started   |   Due by - 16 Jul 2025   |   Assigned to </w:t>
      </w:r>
      <w:r w:rsidR="00520958">
        <w:t>–</w:t>
      </w:r>
      <w:r>
        <w:t xml:space="preserve"> </w:t>
      </w:r>
      <w:r w:rsidR="00520958">
        <w:t>All DoTs</w:t>
      </w:r>
    </w:p>
    <w:p w14:paraId="105B374D" w14:textId="77777777" w:rsidR="00EA1EAF" w:rsidRDefault="00EA1EAF">
      <w:pPr>
        <w:pStyle w:val="BodyText"/>
        <w:spacing w:after="0"/>
      </w:pPr>
    </w:p>
    <w:p w14:paraId="16652E69" w14:textId="77777777" w:rsidR="00EA1EAF" w:rsidRDefault="00EA1EAF">
      <w:pPr>
        <w:pStyle w:val="BodyText"/>
      </w:pPr>
    </w:p>
    <w:p w14:paraId="42B236C7" w14:textId="77777777" w:rsidR="00EA1EAF" w:rsidRDefault="00BF4B80">
      <w:pPr>
        <w:pStyle w:val="Heading2"/>
      </w:pPr>
      <w:r>
        <w:t>1026.0 Student Business</w:t>
      </w:r>
    </w:p>
    <w:p w14:paraId="0B1832AE" w14:textId="77777777" w:rsidR="00EA1EAF" w:rsidRDefault="00EA1EAF">
      <w:pPr>
        <w:pStyle w:val="HorizontalLine"/>
      </w:pPr>
    </w:p>
    <w:p w14:paraId="3A5CEE24" w14:textId="68C5ED36" w:rsidR="00EA1EAF" w:rsidRDefault="00EB160F">
      <w:pPr>
        <w:pStyle w:val="BodyText"/>
      </w:pPr>
      <w:r>
        <w:t>No student representatives were present at the meeting to provide an update</w:t>
      </w:r>
      <w:r w:rsidR="005C04A4">
        <w:t>.</w:t>
      </w:r>
    </w:p>
    <w:p w14:paraId="318A97C8" w14:textId="77777777" w:rsidR="00EB160F" w:rsidRDefault="00EB160F">
      <w:pPr>
        <w:pStyle w:val="BodyText"/>
      </w:pPr>
    </w:p>
    <w:p w14:paraId="1A28A602" w14:textId="77777777" w:rsidR="00EA1EAF" w:rsidRDefault="00BF4B80">
      <w:pPr>
        <w:pStyle w:val="Heading2"/>
      </w:pPr>
      <w:r>
        <w:t>1027.0 Updates to EAP</w:t>
      </w:r>
    </w:p>
    <w:p w14:paraId="247566C8" w14:textId="77777777" w:rsidR="00EA1EAF" w:rsidRDefault="00EA1EAF">
      <w:pPr>
        <w:pStyle w:val="HorizontalLine"/>
      </w:pPr>
    </w:p>
    <w:p w14:paraId="1E585B14" w14:textId="77777777" w:rsidR="005C04A4" w:rsidRDefault="005C04A4" w:rsidP="00EB160F">
      <w:pPr>
        <w:pStyle w:val="BodyText"/>
      </w:pPr>
      <w:r>
        <w:t xml:space="preserve">Departments were asked to confirm they had continued to update their Education Action Plans. </w:t>
      </w:r>
    </w:p>
    <w:p w14:paraId="665BE9A7" w14:textId="13A620B5" w:rsidR="005C04A4" w:rsidRPr="005C04A4" w:rsidRDefault="005C04A4" w:rsidP="005C04A4">
      <w:pPr>
        <w:pStyle w:val="BodyText"/>
        <w:rPr>
          <w:lang w:val="en-GB"/>
        </w:rPr>
      </w:pPr>
      <w:r>
        <w:t xml:space="preserve">It was noted that Academic Registry are currently consulting on proposed </w:t>
      </w:r>
      <w:r w:rsidR="00EF46C3">
        <w:t>changes to</w:t>
      </w:r>
      <w:r w:rsidR="00EB160F">
        <w:t xml:space="preserve"> the EAP and EARE processes</w:t>
      </w:r>
      <w:r>
        <w:t xml:space="preserve">. It was agreed that these are largely </w:t>
      </w:r>
      <w:r w:rsidR="00EF46C3">
        <w:t>positive with</w:t>
      </w:r>
      <w:r w:rsidR="00EB160F">
        <w:t xml:space="preserve"> potential to reduce </w:t>
      </w:r>
      <w:r w:rsidR="00EB160F">
        <w:lastRenderedPageBreak/>
        <w:t>administrative burden and improve clarity. Further guidance is expected following the July EQSC. However, concerns were raised regarding a proposal in Appendix 3 suggesting that EAPs be discussed at every DLTQC and potentially FLTQC, alongside a fixed schedule for reviewing specific data points (e.g. continuation rates, PGT completion data) across the academic year.</w:t>
      </w:r>
      <w:r>
        <w:t xml:space="preserve"> </w:t>
      </w:r>
      <w:r w:rsidRPr="005C04A4">
        <w:rPr>
          <w:lang w:val="en-GB"/>
        </w:rPr>
        <w:t xml:space="preserve">Whilst the principle here, to encourage ongoing engagement, </w:t>
      </w:r>
      <w:r>
        <w:rPr>
          <w:lang w:val="en-GB"/>
        </w:rPr>
        <w:t>was</w:t>
      </w:r>
      <w:r w:rsidRPr="005C04A4">
        <w:rPr>
          <w:lang w:val="en-GB"/>
        </w:rPr>
        <w:t xml:space="preserve"> noted, the committee </w:t>
      </w:r>
      <w:r>
        <w:rPr>
          <w:lang w:val="en-GB"/>
        </w:rPr>
        <w:t xml:space="preserve">agreed it would </w:t>
      </w:r>
      <w:r w:rsidRPr="005C04A4">
        <w:rPr>
          <w:lang w:val="en-GB"/>
        </w:rPr>
        <w:t>be more appropriate to consider frequency and appropriate audience. A suggestion that was proposed was also to consider how EAPs can be embedded into management structures. Perhaps a scheduled quarterly review of the Faculty/School EAPs by the ADE with the PVCs Education and Student Experience that focuses on updates and then reports back to the Dean/</w:t>
      </w:r>
      <w:proofErr w:type="spellStart"/>
      <w:r w:rsidRPr="005C04A4">
        <w:rPr>
          <w:lang w:val="en-GB"/>
        </w:rPr>
        <w:t>HoD</w:t>
      </w:r>
      <w:proofErr w:type="spellEnd"/>
      <w:r w:rsidRPr="005C04A4">
        <w:rPr>
          <w:lang w:val="en-GB"/>
        </w:rPr>
        <w:t>.</w:t>
      </w:r>
    </w:p>
    <w:p w14:paraId="74969E99" w14:textId="5D6CA8B3" w:rsidR="005C04A4" w:rsidRPr="005C04A4" w:rsidRDefault="005C04A4" w:rsidP="005C04A4">
      <w:pPr>
        <w:pStyle w:val="BodyText"/>
        <w:rPr>
          <w:lang w:val="en-GB"/>
        </w:rPr>
      </w:pPr>
      <w:r>
        <w:rPr>
          <w:lang w:val="en-GB"/>
        </w:rPr>
        <w:t>It was noted that the Faculty Assistant Registrar would feed these comments back to Academic Registry.</w:t>
      </w:r>
    </w:p>
    <w:p w14:paraId="3E293813" w14:textId="77777777" w:rsidR="00EB160F" w:rsidRDefault="00EB160F">
      <w:pPr>
        <w:pStyle w:val="BodyText"/>
      </w:pPr>
    </w:p>
    <w:p w14:paraId="08E740D2" w14:textId="77777777" w:rsidR="00EA1EAF" w:rsidRDefault="00BF4B80">
      <w:pPr>
        <w:pStyle w:val="Heading2"/>
      </w:pPr>
      <w:r>
        <w:t>1028.0 Major Course Change: Non-Credit Bearing Year Abroad</w:t>
      </w:r>
    </w:p>
    <w:p w14:paraId="2AAE6001" w14:textId="77777777" w:rsidR="00EA1EAF" w:rsidRDefault="00EA1EAF">
      <w:pPr>
        <w:pStyle w:val="HorizontalLine"/>
      </w:pPr>
    </w:p>
    <w:p w14:paraId="1BAFA97C" w14:textId="6015004A" w:rsidR="009E6C21" w:rsidRPr="009E6C21" w:rsidRDefault="009E6C21" w:rsidP="009E6C21">
      <w:pPr>
        <w:pStyle w:val="Heading4"/>
        <w:rPr>
          <w:b w:val="0"/>
          <w:bCs w:val="0"/>
        </w:rPr>
      </w:pPr>
      <w:bookmarkStart w:id="0" w:name="_Hlk201309339"/>
      <w:r w:rsidRPr="009E6C21">
        <w:rPr>
          <w:b w:val="0"/>
          <w:bCs w:val="0"/>
        </w:rPr>
        <w:t>The committee considered a proposal to revise the current approach to assessment of the Year Abroad, which is currently credit-bearing and contributes 8% to the final degree classification.</w:t>
      </w:r>
    </w:p>
    <w:p w14:paraId="3D05CAE5" w14:textId="77777777" w:rsidR="009E6C21" w:rsidRPr="009E6C21" w:rsidRDefault="009E6C21" w:rsidP="009E6C21">
      <w:pPr>
        <w:pStyle w:val="Heading4"/>
        <w:rPr>
          <w:b w:val="0"/>
          <w:bCs w:val="0"/>
        </w:rPr>
      </w:pPr>
      <w:r w:rsidRPr="009E6C21">
        <w:rPr>
          <w:b w:val="0"/>
          <w:bCs w:val="0"/>
        </w:rPr>
        <w:t>Rationale for Change:</w:t>
      </w:r>
    </w:p>
    <w:p w14:paraId="22458CA8" w14:textId="77777777" w:rsidR="009E6C21" w:rsidRPr="009E6C21" w:rsidRDefault="009E6C21" w:rsidP="009E6C21">
      <w:pPr>
        <w:pStyle w:val="Heading4"/>
        <w:rPr>
          <w:b w:val="0"/>
          <w:bCs w:val="0"/>
        </w:rPr>
      </w:pPr>
      <w:r w:rsidRPr="009E6C21">
        <w:rPr>
          <w:b w:val="0"/>
          <w:bCs w:val="0"/>
        </w:rPr>
        <w:t>It was outlined to members that there have been concerns raised in recent years regarding inconsistencies in assessment standards and academic policies across partner institutions abroad, particularly around:</w:t>
      </w:r>
    </w:p>
    <w:p w14:paraId="6131DE39" w14:textId="77777777" w:rsidR="009E6C21" w:rsidRPr="009E6C21" w:rsidRDefault="009E6C21" w:rsidP="009E6C21">
      <w:pPr>
        <w:pStyle w:val="Heading4"/>
        <w:rPr>
          <w:b w:val="0"/>
          <w:bCs w:val="0"/>
        </w:rPr>
      </w:pPr>
      <w:r w:rsidRPr="009E6C21">
        <w:rPr>
          <w:b w:val="0"/>
          <w:bCs w:val="0"/>
        </w:rPr>
        <w:t>• Reasonable adjustments, deadlines, and extensions.</w:t>
      </w:r>
    </w:p>
    <w:p w14:paraId="51271EB3" w14:textId="77777777" w:rsidR="009E6C21" w:rsidRPr="009E6C21" w:rsidRDefault="009E6C21" w:rsidP="009E6C21">
      <w:pPr>
        <w:pStyle w:val="Heading4"/>
        <w:rPr>
          <w:b w:val="0"/>
          <w:bCs w:val="0"/>
        </w:rPr>
      </w:pPr>
      <w:r w:rsidRPr="009E6C21">
        <w:rPr>
          <w:b w:val="0"/>
          <w:bCs w:val="0"/>
        </w:rPr>
        <w:t>• Visa-related challenges affecting assessment arrangements.</w:t>
      </w:r>
    </w:p>
    <w:p w14:paraId="64D1ABBE" w14:textId="77777777" w:rsidR="009E6C21" w:rsidRPr="009E6C21" w:rsidRDefault="009E6C21" w:rsidP="009E6C21">
      <w:pPr>
        <w:pStyle w:val="Heading4"/>
        <w:rPr>
          <w:b w:val="0"/>
          <w:bCs w:val="0"/>
        </w:rPr>
      </w:pPr>
      <w:r w:rsidRPr="009E6C21">
        <w:rPr>
          <w:b w:val="0"/>
          <w:bCs w:val="0"/>
        </w:rPr>
        <w:t>• Lack of transparency in mark conversions.</w:t>
      </w:r>
    </w:p>
    <w:p w14:paraId="5AB67562" w14:textId="77777777" w:rsidR="009E6C21" w:rsidRPr="009E6C21" w:rsidRDefault="009E6C21" w:rsidP="009E6C21">
      <w:pPr>
        <w:pStyle w:val="Heading4"/>
        <w:rPr>
          <w:b w:val="0"/>
          <w:bCs w:val="0"/>
        </w:rPr>
      </w:pPr>
      <w:r w:rsidRPr="009E6C21">
        <w:rPr>
          <w:b w:val="0"/>
          <w:bCs w:val="0"/>
        </w:rPr>
        <w:t>• Grade inflation in some partner institutions.</w:t>
      </w:r>
    </w:p>
    <w:p w14:paraId="24C216E1" w14:textId="77777777" w:rsidR="009E6C21" w:rsidRPr="009E6C21" w:rsidRDefault="009E6C21" w:rsidP="009E6C21">
      <w:pPr>
        <w:pStyle w:val="Heading4"/>
        <w:rPr>
          <w:b w:val="0"/>
          <w:bCs w:val="0"/>
        </w:rPr>
      </w:pPr>
      <w:r w:rsidRPr="009E6C21">
        <w:rPr>
          <w:b w:val="0"/>
          <w:bCs w:val="0"/>
        </w:rPr>
        <w:t>Proposed Change:</w:t>
      </w:r>
    </w:p>
    <w:p w14:paraId="74DBD672" w14:textId="49958CF3" w:rsidR="009E6C21" w:rsidRPr="009E6C21" w:rsidRDefault="009E6C21" w:rsidP="009E6C21">
      <w:pPr>
        <w:pStyle w:val="Heading4"/>
        <w:rPr>
          <w:b w:val="0"/>
          <w:bCs w:val="0"/>
        </w:rPr>
      </w:pPr>
      <w:r w:rsidRPr="009E6C21">
        <w:rPr>
          <w:b w:val="0"/>
          <w:bCs w:val="0"/>
        </w:rPr>
        <w:t>It was explained that the Year Abroad will become non-credit bearing and assessed on a pass/fail basis and assessed by the University. It was noted that it will apply to students entering from Academic Year 2026/27 onwards. Therefore, current students will retain the existing 8% weighting.</w:t>
      </w:r>
    </w:p>
    <w:p w14:paraId="5CD36B19" w14:textId="38A3AE56" w:rsidR="00EA1EAF" w:rsidRDefault="009E6C21">
      <w:pPr>
        <w:pStyle w:val="BodyText"/>
      </w:pPr>
      <w:r w:rsidRPr="009E6C21">
        <w:t xml:space="preserve">The committee approved the </w:t>
      </w:r>
      <w:proofErr w:type="gramStart"/>
      <w:r w:rsidRPr="009E6C21">
        <w:t>proposal</w:t>
      </w:r>
      <w:proofErr w:type="gramEnd"/>
      <w:r w:rsidRPr="009E6C21">
        <w:t xml:space="preserve"> and it will be submitted to the June CPAC for approval as a major change.”</w:t>
      </w:r>
      <w:bookmarkEnd w:id="0"/>
    </w:p>
    <w:p w14:paraId="35C084E2" w14:textId="77777777" w:rsidR="00EA1EAF" w:rsidRDefault="00EA1EAF">
      <w:pPr>
        <w:pStyle w:val="BodyText"/>
      </w:pPr>
    </w:p>
    <w:p w14:paraId="35B6B409" w14:textId="77777777" w:rsidR="00EA1EAF" w:rsidRDefault="00EA1EAF">
      <w:pPr>
        <w:pStyle w:val="BodyText"/>
        <w:spacing w:after="0"/>
      </w:pPr>
    </w:p>
    <w:p w14:paraId="3D258042" w14:textId="77777777" w:rsidR="00EA1EAF" w:rsidRDefault="00EA1EAF">
      <w:pPr>
        <w:pStyle w:val="BodyText"/>
      </w:pPr>
    </w:p>
    <w:p w14:paraId="62B62649" w14:textId="77777777" w:rsidR="00EA1EAF" w:rsidRDefault="00BF4B80">
      <w:pPr>
        <w:pStyle w:val="Heading2"/>
      </w:pPr>
      <w:r>
        <w:t>1029.0 Inclusive Education Roadshow - Breakout Room Discussion</w:t>
      </w:r>
    </w:p>
    <w:p w14:paraId="00E7B536" w14:textId="77777777" w:rsidR="00EA1EAF" w:rsidRDefault="00EA1EAF">
      <w:pPr>
        <w:pStyle w:val="HorizontalLine"/>
      </w:pPr>
    </w:p>
    <w:p w14:paraId="7C0F7A6D" w14:textId="13835D54" w:rsidR="00EA1EAF" w:rsidRDefault="00BF4B80">
      <w:pPr>
        <w:pStyle w:val="BodyText"/>
      </w:pPr>
      <w:r>
        <w:t xml:space="preserve">The committee was divided into groups to discuss three key questions as part of the ongoing consultation on Inclusive Education developments. Feedback from these discussions will be collated and shared with the Inclusive Education Steering Group to inform the next phase of </w:t>
      </w:r>
      <w:r>
        <w:lastRenderedPageBreak/>
        <w:t>development. The questions were:</w:t>
      </w:r>
    </w:p>
    <w:p w14:paraId="27A7D7E1" w14:textId="31A00E1F" w:rsidR="00EA1EAF" w:rsidRDefault="00BF4B80">
      <w:pPr>
        <w:pStyle w:val="BodyText"/>
      </w:pPr>
      <w:r>
        <w:t>• What concerns do you have?</w:t>
      </w:r>
    </w:p>
    <w:p w14:paraId="59DCFE06" w14:textId="644A9459" w:rsidR="00EA1EAF" w:rsidRDefault="00BF4B80">
      <w:pPr>
        <w:pStyle w:val="BodyText"/>
      </w:pPr>
      <w:r>
        <w:t>• What opportunities are there?</w:t>
      </w:r>
    </w:p>
    <w:p w14:paraId="3264B62E" w14:textId="1C2A196A" w:rsidR="00EA1EAF" w:rsidRDefault="00BF4B80">
      <w:pPr>
        <w:pStyle w:val="BodyText"/>
      </w:pPr>
      <w:r>
        <w:t>• What support and/or training do you and your colleagues require?</w:t>
      </w:r>
    </w:p>
    <w:p w14:paraId="72588C1D" w14:textId="48F1B75F" w:rsidR="00F110A8" w:rsidRDefault="005C04A4" w:rsidP="00F110A8">
      <w:pPr>
        <w:rPr>
          <w:b/>
          <w:bCs/>
          <w:i/>
          <w:iCs/>
        </w:rPr>
      </w:pPr>
      <w:r>
        <w:rPr>
          <w:b/>
          <w:bCs/>
          <w:i/>
          <w:iCs/>
        </w:rPr>
        <w:t xml:space="preserve">Summary of </w:t>
      </w:r>
      <w:r w:rsidR="00F110A8" w:rsidRPr="00F364A5">
        <w:rPr>
          <w:b/>
          <w:bCs/>
          <w:i/>
          <w:iCs/>
        </w:rPr>
        <w:t>Discussion:</w:t>
      </w:r>
    </w:p>
    <w:p w14:paraId="3ED35FA7" w14:textId="77777777" w:rsidR="00F110A8" w:rsidRPr="00F364A5" w:rsidRDefault="00F110A8" w:rsidP="00F110A8">
      <w:pPr>
        <w:rPr>
          <w:b/>
          <w:bCs/>
          <w:i/>
          <w:iCs/>
        </w:rPr>
      </w:pPr>
    </w:p>
    <w:tbl>
      <w:tblPr>
        <w:tblStyle w:val="TableGrid"/>
        <w:tblW w:w="0" w:type="auto"/>
        <w:tblLook w:val="04A0" w:firstRow="1" w:lastRow="0" w:firstColumn="1" w:lastColumn="0" w:noHBand="0" w:noVBand="1"/>
      </w:tblPr>
      <w:tblGrid>
        <w:gridCol w:w="3005"/>
        <w:gridCol w:w="3005"/>
        <w:gridCol w:w="3006"/>
      </w:tblGrid>
      <w:tr w:rsidR="00F110A8" w14:paraId="60B02B45" w14:textId="77777777" w:rsidTr="00B05E9C">
        <w:tc>
          <w:tcPr>
            <w:tcW w:w="3005" w:type="dxa"/>
          </w:tcPr>
          <w:p w14:paraId="4A042ED1" w14:textId="77777777" w:rsidR="00F110A8" w:rsidRDefault="00F110A8" w:rsidP="00F110A8">
            <w:pPr>
              <w:pStyle w:val="ListParagraph"/>
              <w:numPr>
                <w:ilvl w:val="0"/>
                <w:numId w:val="5"/>
              </w:numPr>
              <w:spacing w:after="0" w:line="240" w:lineRule="auto"/>
            </w:pPr>
            <w:r>
              <w:t>What concerns do you have?</w:t>
            </w:r>
          </w:p>
        </w:tc>
        <w:tc>
          <w:tcPr>
            <w:tcW w:w="3005" w:type="dxa"/>
          </w:tcPr>
          <w:p w14:paraId="1D84F28D" w14:textId="77777777" w:rsidR="00F110A8" w:rsidRDefault="00F110A8" w:rsidP="00F110A8">
            <w:pPr>
              <w:pStyle w:val="ListParagraph"/>
              <w:numPr>
                <w:ilvl w:val="0"/>
                <w:numId w:val="5"/>
              </w:numPr>
              <w:spacing w:after="0" w:line="240" w:lineRule="auto"/>
            </w:pPr>
            <w:r>
              <w:t>What opportunities are there?</w:t>
            </w:r>
          </w:p>
        </w:tc>
        <w:tc>
          <w:tcPr>
            <w:tcW w:w="3006" w:type="dxa"/>
          </w:tcPr>
          <w:p w14:paraId="1059D0E9" w14:textId="77777777" w:rsidR="00F110A8" w:rsidRDefault="00F110A8" w:rsidP="00F110A8">
            <w:pPr>
              <w:pStyle w:val="ListParagraph"/>
              <w:numPr>
                <w:ilvl w:val="0"/>
                <w:numId w:val="5"/>
              </w:numPr>
              <w:spacing w:after="0" w:line="240" w:lineRule="auto"/>
            </w:pPr>
            <w:r>
              <w:t>What support and/or training do you and your colleagues require?</w:t>
            </w:r>
          </w:p>
        </w:tc>
      </w:tr>
      <w:tr w:rsidR="00F110A8" w14:paraId="3881EF95" w14:textId="77777777" w:rsidTr="00B05E9C">
        <w:tc>
          <w:tcPr>
            <w:tcW w:w="3005" w:type="dxa"/>
          </w:tcPr>
          <w:p w14:paraId="6178F1D9" w14:textId="77777777" w:rsidR="00F110A8" w:rsidRDefault="00F110A8" w:rsidP="00F110A8">
            <w:pPr>
              <w:pStyle w:val="ListParagraph"/>
              <w:numPr>
                <w:ilvl w:val="0"/>
                <w:numId w:val="6"/>
              </w:numPr>
              <w:spacing w:after="0" w:line="240" w:lineRule="auto"/>
              <w:ind w:left="316" w:hanging="239"/>
            </w:pPr>
            <w:r w:rsidRPr="00D16DF2">
              <w:rPr>
                <w:b/>
                <w:bCs/>
              </w:rPr>
              <w:t>Staff workload:</w:t>
            </w:r>
            <w:r>
              <w:t xml:space="preserve"> Increased pressure on academic and professional services staff, especially with inclusive assessment design. Managing individual student adjustments creates more administrative work and complexity.</w:t>
            </w:r>
          </w:p>
          <w:p w14:paraId="77E2EE5E" w14:textId="77777777" w:rsidR="00F110A8" w:rsidRDefault="00F110A8" w:rsidP="00F110A8">
            <w:pPr>
              <w:pStyle w:val="ListParagraph"/>
              <w:numPr>
                <w:ilvl w:val="0"/>
                <w:numId w:val="6"/>
              </w:numPr>
              <w:spacing w:after="0" w:line="240" w:lineRule="auto"/>
              <w:ind w:left="316" w:hanging="239"/>
            </w:pPr>
            <w:r w:rsidRPr="00D16DF2">
              <w:rPr>
                <w:b/>
                <w:bCs/>
              </w:rPr>
              <w:t>Role clarity:</w:t>
            </w:r>
            <w:r>
              <w:t xml:space="preserve"> Need for clearer division of responsibilities between academic and professional services staff.</w:t>
            </w:r>
          </w:p>
          <w:p w14:paraId="57DF7280" w14:textId="77777777" w:rsidR="00F110A8" w:rsidRDefault="00F110A8" w:rsidP="00F110A8">
            <w:pPr>
              <w:pStyle w:val="ListParagraph"/>
              <w:numPr>
                <w:ilvl w:val="0"/>
                <w:numId w:val="6"/>
              </w:numPr>
              <w:spacing w:after="0" w:line="240" w:lineRule="auto"/>
              <w:ind w:left="316" w:hanging="239"/>
            </w:pPr>
            <w:r w:rsidRPr="00D16DF2">
              <w:rPr>
                <w:b/>
                <w:bCs/>
              </w:rPr>
              <w:t>Time constraints:</w:t>
            </w:r>
            <w:r>
              <w:t xml:space="preserve"> Unit convenors don’t have enough time or support to design inclusive assessments.</w:t>
            </w:r>
          </w:p>
          <w:p w14:paraId="32387723" w14:textId="77777777" w:rsidR="00F110A8" w:rsidRDefault="00F110A8" w:rsidP="00F110A8">
            <w:pPr>
              <w:pStyle w:val="ListParagraph"/>
              <w:numPr>
                <w:ilvl w:val="0"/>
                <w:numId w:val="6"/>
              </w:numPr>
              <w:spacing w:after="0" w:line="240" w:lineRule="auto"/>
              <w:ind w:left="316" w:hanging="239"/>
            </w:pPr>
            <w:r w:rsidRPr="00D16DF2">
              <w:rPr>
                <w:b/>
                <w:bCs/>
              </w:rPr>
              <w:t>Skills gap:</w:t>
            </w:r>
            <w:r>
              <w:t xml:space="preserve"> Some staff may lack the expertise needed to create inclusive assessments.</w:t>
            </w:r>
          </w:p>
          <w:p w14:paraId="3B3F3D00" w14:textId="77777777" w:rsidR="00F110A8" w:rsidRDefault="00F110A8" w:rsidP="00F110A8">
            <w:pPr>
              <w:pStyle w:val="ListParagraph"/>
              <w:numPr>
                <w:ilvl w:val="0"/>
                <w:numId w:val="6"/>
              </w:numPr>
              <w:spacing w:after="0" w:line="240" w:lineRule="auto"/>
              <w:ind w:left="316" w:hanging="239"/>
            </w:pPr>
            <w:r w:rsidRPr="00D16DF2">
              <w:rPr>
                <w:b/>
                <w:bCs/>
              </w:rPr>
              <w:t>Fairness and consistency:</w:t>
            </w:r>
            <w:r>
              <w:t xml:space="preserve"> Too many individual adjustments may lead to inconsistencies and unfairness across assessments</w:t>
            </w:r>
          </w:p>
        </w:tc>
        <w:tc>
          <w:tcPr>
            <w:tcW w:w="3005" w:type="dxa"/>
          </w:tcPr>
          <w:p w14:paraId="04140730" w14:textId="77777777" w:rsidR="00F110A8" w:rsidRPr="00F364A5" w:rsidRDefault="00F110A8" w:rsidP="00F110A8">
            <w:pPr>
              <w:pStyle w:val="ListParagraph"/>
              <w:numPr>
                <w:ilvl w:val="0"/>
                <w:numId w:val="6"/>
              </w:numPr>
              <w:spacing w:after="0" w:line="240" w:lineRule="auto"/>
              <w:ind w:left="424"/>
            </w:pPr>
            <w:r w:rsidRPr="00F364A5">
              <w:rPr>
                <w:b/>
                <w:bCs/>
              </w:rPr>
              <w:t>Universal Design for Learning (UDL</w:t>
            </w:r>
            <w:r w:rsidRPr="00F364A5">
              <w:t xml:space="preserve">): </w:t>
            </w:r>
            <w:r w:rsidRPr="00D16DF2">
              <w:t>Designing courses and assessments that are flexible from the start can reduce the need for individual adjustments.</w:t>
            </w:r>
          </w:p>
          <w:p w14:paraId="0F647C48" w14:textId="77777777" w:rsidR="00F110A8" w:rsidRPr="00F364A5" w:rsidRDefault="00F110A8" w:rsidP="00F110A8">
            <w:pPr>
              <w:pStyle w:val="ListParagraph"/>
              <w:numPr>
                <w:ilvl w:val="0"/>
                <w:numId w:val="6"/>
              </w:numPr>
              <w:spacing w:after="0" w:line="240" w:lineRule="auto"/>
              <w:ind w:left="424"/>
              <w:rPr>
                <w:b/>
                <w:bCs/>
              </w:rPr>
            </w:pPr>
            <w:r w:rsidRPr="00F364A5">
              <w:rPr>
                <w:b/>
                <w:bCs/>
              </w:rPr>
              <w:t xml:space="preserve">CLT Guidance and Support: </w:t>
            </w:r>
            <w:r w:rsidRPr="00F364A5">
              <w:t>The Centre for Learning &amp; Teaching is developing resources and guidance to help staff build flexibility into course and assessment design</w:t>
            </w:r>
            <w:r>
              <w:t>.</w:t>
            </w:r>
          </w:p>
          <w:p w14:paraId="1D008058" w14:textId="77777777" w:rsidR="00F110A8" w:rsidRPr="00F364A5" w:rsidRDefault="00F110A8" w:rsidP="00F110A8">
            <w:pPr>
              <w:pStyle w:val="ListParagraph"/>
              <w:numPr>
                <w:ilvl w:val="0"/>
                <w:numId w:val="6"/>
              </w:numPr>
              <w:spacing w:after="0" w:line="240" w:lineRule="auto"/>
              <w:ind w:left="424"/>
              <w:rPr>
                <w:b/>
                <w:bCs/>
              </w:rPr>
            </w:pPr>
            <w:r w:rsidRPr="00D16DF2">
              <w:rPr>
                <w:b/>
                <w:bCs/>
              </w:rPr>
              <w:t xml:space="preserve">Holistic planning: </w:t>
            </w:r>
            <w:r w:rsidRPr="00D16DF2">
              <w:t>Should identify common student needs. Addressing these at a curriculum level can reduce case-by-case work and make support more consistent.</w:t>
            </w:r>
          </w:p>
        </w:tc>
        <w:tc>
          <w:tcPr>
            <w:tcW w:w="3006" w:type="dxa"/>
          </w:tcPr>
          <w:p w14:paraId="37486D90" w14:textId="77777777" w:rsidR="00F110A8" w:rsidRDefault="00F110A8" w:rsidP="00F110A8">
            <w:pPr>
              <w:pStyle w:val="ListParagraph"/>
              <w:numPr>
                <w:ilvl w:val="0"/>
                <w:numId w:val="6"/>
              </w:numPr>
              <w:spacing w:after="0" w:line="240" w:lineRule="auto"/>
              <w:ind w:left="401"/>
            </w:pPr>
            <w:r w:rsidRPr="00D16DF2">
              <w:rPr>
                <w:b/>
                <w:bCs/>
              </w:rPr>
              <w:t>Clear processes:</w:t>
            </w:r>
            <w:r>
              <w:t xml:space="preserve"> Staff need a better-defined process for requesting and approving alternative assessments, with clear roles at each stage.</w:t>
            </w:r>
          </w:p>
          <w:p w14:paraId="709FECA0" w14:textId="77777777" w:rsidR="00F110A8" w:rsidRDefault="00F110A8" w:rsidP="00F110A8">
            <w:pPr>
              <w:pStyle w:val="ListParagraph"/>
              <w:numPr>
                <w:ilvl w:val="0"/>
                <w:numId w:val="6"/>
              </w:numPr>
              <w:spacing w:after="0" w:line="240" w:lineRule="auto"/>
              <w:ind w:left="401"/>
            </w:pPr>
            <w:r w:rsidRPr="00FB6272">
              <w:rPr>
                <w:b/>
                <w:bCs/>
              </w:rPr>
              <w:t>Training on assessment design and learning outcomes:</w:t>
            </w:r>
            <w:r>
              <w:t xml:space="preserve"> Support is needed to help staff match assessment types to learning outcomes and to rethink those outcomes if needed.</w:t>
            </w:r>
          </w:p>
          <w:p w14:paraId="4245A29F" w14:textId="77777777" w:rsidR="00F110A8" w:rsidRDefault="00F110A8" w:rsidP="00F110A8">
            <w:pPr>
              <w:pStyle w:val="ListParagraph"/>
              <w:numPr>
                <w:ilvl w:val="0"/>
                <w:numId w:val="6"/>
              </w:numPr>
              <w:spacing w:after="0" w:line="240" w:lineRule="auto"/>
              <w:ind w:left="401"/>
            </w:pPr>
            <w:r w:rsidRPr="00D16DF2">
              <w:rPr>
                <w:b/>
                <w:bCs/>
              </w:rPr>
              <w:t>Available alternatives:</w:t>
            </w:r>
            <w:r>
              <w:t xml:space="preserve"> Staff would benefit from having a list of pre-approved assessment alternatives (e.g., recorded presentations, written work) they can offer students where needed.</w:t>
            </w:r>
          </w:p>
          <w:p w14:paraId="047C8834" w14:textId="77777777" w:rsidR="00F110A8" w:rsidRDefault="00F110A8" w:rsidP="00F110A8">
            <w:pPr>
              <w:pStyle w:val="ListParagraph"/>
              <w:numPr>
                <w:ilvl w:val="0"/>
                <w:numId w:val="6"/>
              </w:numPr>
              <w:spacing w:after="0" w:line="240" w:lineRule="auto"/>
              <w:ind w:left="401"/>
            </w:pPr>
            <w:r w:rsidRPr="00D16DF2">
              <w:rPr>
                <w:b/>
                <w:bCs/>
              </w:rPr>
              <w:t>Fairer options for all:</w:t>
            </w:r>
            <w:r>
              <w:t xml:space="preserve"> Providing flexible assessment choices to all students, not just those who ask, could improve fairness and reduce hidden disadvantage.</w:t>
            </w:r>
          </w:p>
        </w:tc>
      </w:tr>
    </w:tbl>
    <w:p w14:paraId="53C68BE0" w14:textId="77777777" w:rsidR="00EA1EAF" w:rsidRDefault="00EA1EAF">
      <w:pPr>
        <w:pStyle w:val="BodyText"/>
      </w:pPr>
    </w:p>
    <w:p w14:paraId="0BE969FC" w14:textId="77777777" w:rsidR="0001418D" w:rsidRDefault="0001418D">
      <w:pPr>
        <w:pStyle w:val="BodyText"/>
      </w:pPr>
    </w:p>
    <w:p w14:paraId="007045DA" w14:textId="77777777" w:rsidR="0001418D" w:rsidRDefault="0001418D">
      <w:pPr>
        <w:pStyle w:val="BodyText"/>
      </w:pPr>
    </w:p>
    <w:p w14:paraId="02F0E62C" w14:textId="77777777" w:rsidR="00EA1EAF" w:rsidRDefault="00BF4B80">
      <w:pPr>
        <w:pStyle w:val="Heading2"/>
      </w:pPr>
      <w:r>
        <w:lastRenderedPageBreak/>
        <w:t>1019.0 FLTQC and DLTQC Schedule of Business</w:t>
      </w:r>
    </w:p>
    <w:p w14:paraId="6EBAD8A2" w14:textId="77777777" w:rsidR="00EA1EAF" w:rsidRDefault="00EA1EAF">
      <w:pPr>
        <w:pStyle w:val="HorizontalLine"/>
      </w:pPr>
    </w:p>
    <w:p w14:paraId="1115B6F8" w14:textId="1BEE3F81" w:rsidR="00EA1EAF" w:rsidRDefault="00F110A8">
      <w:pPr>
        <w:pStyle w:val="BodyText"/>
      </w:pPr>
      <w:r>
        <w:t xml:space="preserve">The committee noted </w:t>
      </w:r>
      <w:r w:rsidR="00713DBA">
        <w:t xml:space="preserve">and agreed with </w:t>
      </w:r>
      <w:r>
        <w:t xml:space="preserve">the updates </w:t>
      </w:r>
      <w:r w:rsidR="00713DBA">
        <w:t>to</w:t>
      </w:r>
      <w:r>
        <w:t xml:space="preserve"> </w:t>
      </w:r>
      <w:r w:rsidRPr="00F110A8">
        <w:t>the schedule of business for next academic year</w:t>
      </w:r>
      <w:r>
        <w:t>.</w:t>
      </w:r>
    </w:p>
    <w:p w14:paraId="0918F2BB" w14:textId="77777777" w:rsidR="00EA1EAF" w:rsidRDefault="00BF4B80">
      <w:pPr>
        <w:pStyle w:val="Heading2"/>
      </w:pPr>
      <w:r>
        <w:t>1031.0 EQSC Consultation</w:t>
      </w:r>
    </w:p>
    <w:p w14:paraId="1D24B0F9" w14:textId="77777777" w:rsidR="00EA1EAF" w:rsidRDefault="00EA1EAF">
      <w:pPr>
        <w:pStyle w:val="HorizontalLine"/>
      </w:pPr>
    </w:p>
    <w:p w14:paraId="780E2959" w14:textId="3DC5AE96" w:rsidR="00EA1EAF" w:rsidRDefault="00713DBA">
      <w:pPr>
        <w:pStyle w:val="BodyText"/>
      </w:pPr>
      <w:r>
        <w:t xml:space="preserve">The Faculty Assistant Registrar provided an update on the ongoing EQSC consultations. It was noted that EQSC have a schedule for reviewing Quality Codes of Practices and the Faculty will routinely be consulted. It was noted that there is now a </w:t>
      </w:r>
      <w:proofErr w:type="gramStart"/>
      <w:r>
        <w:t>Faculty</w:t>
      </w:r>
      <w:proofErr w:type="gramEnd"/>
      <w:r>
        <w:t xml:space="preserve"> consultation log in Teams, which is open to all FLTQC members to input thoughts and questions. </w:t>
      </w:r>
      <w:proofErr w:type="gramStart"/>
      <w:r>
        <w:t>Alternatively</w:t>
      </w:r>
      <w:proofErr w:type="gramEnd"/>
      <w:r>
        <w:t xml:space="preserve"> </w:t>
      </w:r>
      <w:r w:rsidR="00BF4B80">
        <w:t>staff can send feedback directly to Academic Registry</w:t>
      </w:r>
      <w:r>
        <w:t xml:space="preserve"> via a Microsoft Form included in the agenda</w:t>
      </w:r>
      <w:r w:rsidR="00BF4B80">
        <w:t>. Alternatively, feedback can be added to the faculty's consultation log in Teams, which is open to all FLTQC members.</w:t>
      </w:r>
    </w:p>
    <w:p w14:paraId="697D5E30" w14:textId="11378AD4" w:rsidR="00713DBA" w:rsidRDefault="00713DBA">
      <w:pPr>
        <w:pStyle w:val="BodyText"/>
      </w:pPr>
      <w:r>
        <w:t xml:space="preserve">It was noted that the University will be reintroducing Degree Scheme Reviews. </w:t>
      </w:r>
    </w:p>
    <w:p w14:paraId="60652974" w14:textId="0469C0EA" w:rsidR="00EA1EAF" w:rsidRDefault="00BF4B80">
      <w:pPr>
        <w:pStyle w:val="BodyText"/>
      </w:pPr>
      <w:r>
        <w:t>A draft schedule has been shared showing when each department's review would happen.</w:t>
      </w:r>
      <w:r w:rsidR="0001418D">
        <w:t xml:space="preserve"> </w:t>
      </w:r>
      <w:r>
        <w:t>The Department for Health and one engineering department will take part in the pilot phase. Staff are encouraged to give feedback, especially around how the process can be streamlined and made more meaningful.</w:t>
      </w:r>
    </w:p>
    <w:p w14:paraId="23F43F1A" w14:textId="77777777" w:rsidR="00EA1EAF" w:rsidRDefault="00EA1EAF">
      <w:pPr>
        <w:pStyle w:val="BodyText"/>
      </w:pPr>
    </w:p>
    <w:p w14:paraId="6C259ADD" w14:textId="77777777" w:rsidR="00EA1EAF" w:rsidRDefault="00EA1EAF">
      <w:pPr>
        <w:pStyle w:val="BodyText"/>
      </w:pPr>
    </w:p>
    <w:p w14:paraId="79B308FE" w14:textId="77777777" w:rsidR="00EA1EAF" w:rsidRDefault="00EA1EAF">
      <w:pPr>
        <w:pStyle w:val="BodyText"/>
        <w:spacing w:after="0"/>
      </w:pPr>
    </w:p>
    <w:p w14:paraId="646CEA16" w14:textId="77777777" w:rsidR="00EA1EAF" w:rsidRDefault="00EA1EAF">
      <w:pPr>
        <w:pStyle w:val="BodyText"/>
      </w:pPr>
    </w:p>
    <w:p w14:paraId="415D4AE6" w14:textId="77777777" w:rsidR="00EA1EAF" w:rsidRDefault="00BF4B80">
      <w:pPr>
        <w:pStyle w:val="Heading2"/>
      </w:pPr>
      <w:r>
        <w:t>1032.0 QA53 - Academic Misconduct - Codes of Practice Updates</w:t>
      </w:r>
    </w:p>
    <w:p w14:paraId="330F2B87" w14:textId="77777777" w:rsidR="00EA1EAF" w:rsidRDefault="00EA1EAF">
      <w:pPr>
        <w:pStyle w:val="HorizontalLine"/>
      </w:pPr>
    </w:p>
    <w:p w14:paraId="2DE1447C" w14:textId="482ABA83" w:rsidR="00EA1EAF" w:rsidRDefault="00713DBA">
      <w:pPr>
        <w:pStyle w:val="BodyText"/>
      </w:pPr>
      <w:r>
        <w:rPr>
          <w:b/>
        </w:rPr>
        <w:t xml:space="preserve">The Faculty Assistant Registrar provided a brief overview to confirm that </w:t>
      </w:r>
      <w:r w:rsidR="00BF4B80">
        <w:t xml:space="preserve">QA53 is being restructured to improve clarity for both staff and students, </w:t>
      </w:r>
      <w:r>
        <w:t>two documents will include</w:t>
      </w:r>
      <w:r w:rsidR="00BF4B80">
        <w:t>:</w:t>
      </w:r>
    </w:p>
    <w:p w14:paraId="2DAA768C" w14:textId="2A4217C5" w:rsidR="00EA1EAF" w:rsidRDefault="00BF4B80">
      <w:pPr>
        <w:pStyle w:val="BodyText"/>
      </w:pPr>
      <w:r>
        <w:t>• A new staff-facing document will focus solely on promoting academic integrity</w:t>
      </w:r>
      <w:r w:rsidR="00713DBA">
        <w:t xml:space="preserve"> (QA53)</w:t>
      </w:r>
    </w:p>
    <w:p w14:paraId="30E6C5EA" w14:textId="3E5DF3AF" w:rsidR="00EA1EAF" w:rsidRPr="00F110A8" w:rsidRDefault="00BF4B80" w:rsidP="0001418D">
      <w:pPr>
        <w:pStyle w:val="BodyText"/>
        <w:rPr>
          <w:b/>
        </w:rPr>
      </w:pPr>
      <w:r>
        <w:t>• All content related to misconduct procedures will be moved into a new student regulation.</w:t>
      </w:r>
      <w:r w:rsidR="0001418D" w:rsidRPr="00F110A8">
        <w:rPr>
          <w:b/>
        </w:rPr>
        <w:t xml:space="preserve"> </w:t>
      </w:r>
    </w:p>
    <w:p w14:paraId="43E13F54" w14:textId="77777777" w:rsidR="00BF4B80" w:rsidRPr="00BF4B80" w:rsidRDefault="00BF4B80" w:rsidP="00BF4B80">
      <w:pPr>
        <w:pStyle w:val="BodyText"/>
        <w:rPr>
          <w:lang w:val="en-GB"/>
        </w:rPr>
      </w:pPr>
      <w:r w:rsidRPr="00BF4B80">
        <w:rPr>
          <w:b/>
          <w:bCs/>
          <w:lang w:val="en-GB"/>
        </w:rPr>
        <w:t>Relationship between mitigation and misconduct</w:t>
      </w:r>
    </w:p>
    <w:p w14:paraId="3347529B" w14:textId="77777777" w:rsidR="00BF4B80" w:rsidRPr="00BF4B80" w:rsidRDefault="00BF4B80" w:rsidP="00BF4B80">
      <w:pPr>
        <w:pStyle w:val="BodyText"/>
        <w:rPr>
          <w:lang w:val="en-GB"/>
        </w:rPr>
      </w:pPr>
      <w:r w:rsidRPr="00BF4B80">
        <w:rPr>
          <w:lang w:val="en-GB"/>
        </w:rPr>
        <w:t>Committee members raised concerns about the proposed relationship between academic misconduct and approved mitigation. It was explained that the proposal indicates that where a student has mitigation but is eligible for deferred assessment as a response of mitigation, the deferred attempt would take precedent. Many members felt that such cases should be considered on a case-by-case basis, rather than applying a single rule to all situations. There was concern that a blanket policy might send the wrong message about student’s taking accountability for academic integrity in their work and set a precedent to be seen to be possibly excusing dishonest behaviour due to stress or other circumstances.</w:t>
      </w:r>
    </w:p>
    <w:p w14:paraId="5238DD06" w14:textId="77777777" w:rsidR="00BF4B80" w:rsidRPr="00BF4B80" w:rsidRDefault="00BF4B80" w:rsidP="00BF4B80">
      <w:pPr>
        <w:pStyle w:val="BodyText"/>
        <w:rPr>
          <w:lang w:val="en-GB"/>
        </w:rPr>
      </w:pPr>
      <w:r w:rsidRPr="00BF4B80">
        <w:rPr>
          <w:lang w:val="en-GB"/>
        </w:rPr>
        <w:t xml:space="preserve">Members also agreed to propose to the EQSC that even if a student is granted an uncapped </w:t>
      </w:r>
      <w:r w:rsidRPr="00BF4B80">
        <w:rPr>
          <w:lang w:val="en-GB"/>
        </w:rPr>
        <w:lastRenderedPageBreak/>
        <w:t>resit, the misconduct should still be formally recorded. This would ensure that repeat offenses can be tracked and escalated appropriately. There were also questions about how common these situations are.</w:t>
      </w:r>
    </w:p>
    <w:p w14:paraId="6A840B6A" w14:textId="77777777" w:rsidR="00BF4B80" w:rsidRPr="00BF4B80" w:rsidRDefault="00BF4B80" w:rsidP="00BF4B80">
      <w:pPr>
        <w:pStyle w:val="BodyText"/>
        <w:rPr>
          <w:lang w:val="en-GB"/>
        </w:rPr>
      </w:pPr>
      <w:r w:rsidRPr="00BF4B80">
        <w:rPr>
          <w:b/>
          <w:bCs/>
          <w:lang w:val="en-GB"/>
        </w:rPr>
        <w:t>Trial of specific academic integrity staff posts</w:t>
      </w:r>
    </w:p>
    <w:p w14:paraId="66B6D259" w14:textId="77777777" w:rsidR="00BF4B80" w:rsidRPr="00BF4B80" w:rsidRDefault="00BF4B80" w:rsidP="00BF4B80">
      <w:pPr>
        <w:pStyle w:val="BodyText"/>
        <w:rPr>
          <w:lang w:val="en-GB"/>
        </w:rPr>
      </w:pPr>
      <w:r w:rsidRPr="00BF4B80">
        <w:rPr>
          <w:lang w:val="en-GB"/>
        </w:rPr>
        <w:t>Members noted that the current approach places a heavy burden on Directors of Studies, who are not always trained or equipped to make complex decisions about student wellbeing or intent. The proposal to shift responsibility to a dedicated role was seen by some as a positive step toward consistency and fairness. It was noted that the Department of Economics are exploring appointing a member of staff in this capacity for academic year 2025/26.</w:t>
      </w:r>
    </w:p>
    <w:p w14:paraId="0EB08F4E" w14:textId="77777777" w:rsidR="00BF4B80" w:rsidRPr="00BF4B80" w:rsidRDefault="00BF4B80" w:rsidP="00BF4B80">
      <w:pPr>
        <w:pStyle w:val="BodyText"/>
        <w:rPr>
          <w:lang w:val="en-GB"/>
        </w:rPr>
      </w:pPr>
      <w:r w:rsidRPr="00BF4B80">
        <w:rPr>
          <w:b/>
          <w:bCs/>
          <w:lang w:val="en-GB"/>
        </w:rPr>
        <w:t>Penalties</w:t>
      </w:r>
    </w:p>
    <w:p w14:paraId="26765730" w14:textId="77777777" w:rsidR="00BF4B80" w:rsidRPr="00BF4B80" w:rsidRDefault="00BF4B80" w:rsidP="00BF4B80">
      <w:pPr>
        <w:pStyle w:val="BodyText"/>
        <w:rPr>
          <w:lang w:val="en-GB"/>
        </w:rPr>
      </w:pPr>
      <w:r w:rsidRPr="00BF4B80">
        <w:rPr>
          <w:lang w:val="en-GB"/>
        </w:rPr>
        <w:t>Additional concerns were raised about the current penalty structure, which was described as unclear, inconsistent, and in some cases too lenient. Specific concerns were raised about the use of Penalty C which enables a student to resubmit work as if for the first attempt. The Faculty Assistant Registrar confirmed that ordinarily this penalty would be used in conjunction with Penalty D to reduce the mark but acknowledged the phrasing causes some confusion. The committee noted that there will be ongoing work by the QA53 Working Group to consider major changes to penalties and processes, but this is interconnected with wider regulation review work. The committee agreed that it would be helpful if there were clearer examples or case studies to help guide decisions.</w:t>
      </w:r>
    </w:p>
    <w:p w14:paraId="24FB9A97" w14:textId="77777777" w:rsidR="00BF4B80" w:rsidRPr="00BF4B80" w:rsidRDefault="00BF4B80" w:rsidP="00BF4B80">
      <w:pPr>
        <w:pStyle w:val="BodyText"/>
        <w:rPr>
          <w:lang w:val="en-GB"/>
        </w:rPr>
      </w:pPr>
      <w:r w:rsidRPr="00BF4B80">
        <w:rPr>
          <w:b/>
          <w:bCs/>
          <w:lang w:val="en-GB"/>
        </w:rPr>
        <w:t>Presentations of Learning</w:t>
      </w:r>
    </w:p>
    <w:p w14:paraId="636657A3" w14:textId="77777777" w:rsidR="00BF4B80" w:rsidRPr="00BF4B80" w:rsidRDefault="00BF4B80" w:rsidP="00BF4B80">
      <w:pPr>
        <w:pStyle w:val="BodyText"/>
        <w:rPr>
          <w:lang w:val="en-GB"/>
        </w:rPr>
      </w:pPr>
      <w:r w:rsidRPr="00BF4B80">
        <w:rPr>
          <w:lang w:val="en-GB"/>
        </w:rPr>
        <w:t xml:space="preserve">It was noted that the number of presentations for learning will most likely drastically increase due to the rise of </w:t>
      </w:r>
      <w:proofErr w:type="spellStart"/>
      <w:r w:rsidRPr="00BF4B80">
        <w:rPr>
          <w:lang w:val="en-GB"/>
        </w:rPr>
        <w:t>GenAI</w:t>
      </w:r>
      <w:proofErr w:type="spellEnd"/>
      <w:r w:rsidRPr="00BF4B80">
        <w:rPr>
          <w:lang w:val="en-GB"/>
        </w:rPr>
        <w:t>. Members asked for clarity if there was an expectation that this should be held for each suspected case of the misuse of AI.</w:t>
      </w:r>
    </w:p>
    <w:p w14:paraId="683CFEAD" w14:textId="77777777" w:rsidR="00BF4B80" w:rsidRPr="00BF4B80" w:rsidRDefault="00BF4B80" w:rsidP="00BF4B80">
      <w:pPr>
        <w:pStyle w:val="BodyText"/>
        <w:rPr>
          <w:lang w:val="en-GB"/>
        </w:rPr>
      </w:pPr>
      <w:r w:rsidRPr="00BF4B80">
        <w:rPr>
          <w:b/>
          <w:bCs/>
          <w:lang w:val="en-GB"/>
        </w:rPr>
        <w:t>Detection of Misconduct</w:t>
      </w:r>
    </w:p>
    <w:p w14:paraId="0703135C" w14:textId="77777777" w:rsidR="00BF4B80" w:rsidRPr="00BF4B80" w:rsidRDefault="00BF4B80" w:rsidP="00BF4B80">
      <w:pPr>
        <w:pStyle w:val="BodyText"/>
        <w:rPr>
          <w:lang w:val="en-GB"/>
        </w:rPr>
      </w:pPr>
      <w:r w:rsidRPr="00BF4B80">
        <w:rPr>
          <w:lang w:val="en-GB"/>
        </w:rPr>
        <w:t>The committee wished to flag to EQSC that further work is required to the staff-facing document and wider systems to help improve the detection of academic misconduct. It was noted that many cases go undetected and that without better systems to identify and follow up on misconduct, the reforms may not lead to meaningful improvement in academic integrity.</w:t>
      </w:r>
    </w:p>
    <w:p w14:paraId="0AAF14A7" w14:textId="77777777" w:rsidR="00EA1EAF" w:rsidRDefault="00EA1EAF">
      <w:pPr>
        <w:pStyle w:val="BodyText"/>
      </w:pPr>
    </w:p>
    <w:p w14:paraId="79B80CD4" w14:textId="2E2952E8" w:rsidR="00EA1EAF" w:rsidRDefault="00BF4B80">
      <w:pPr>
        <w:pStyle w:val="Heading4"/>
        <w:rPr>
          <w:b w:val="0"/>
        </w:rPr>
      </w:pPr>
      <w:r>
        <w:t>Action</w:t>
      </w:r>
      <w:r>
        <w:rPr>
          <w:b w:val="0"/>
        </w:rPr>
        <w:t xml:space="preserve"> </w:t>
      </w:r>
    </w:p>
    <w:p w14:paraId="24D109C4" w14:textId="6B0D8F5F" w:rsidR="00EA1EAF" w:rsidRDefault="00BF4B80">
      <w:pPr>
        <w:pStyle w:val="BodyText"/>
      </w:pPr>
      <w:r>
        <w:t xml:space="preserve">To review the proposed QA53 changes and submit feedback via the consultation log or Microsoft Form. </w:t>
      </w:r>
    </w:p>
    <w:p w14:paraId="304441CF" w14:textId="361125C8" w:rsidR="00EA1EAF" w:rsidRDefault="00BF4B80">
      <w:pPr>
        <w:pStyle w:val="BodyText"/>
      </w:pPr>
      <w:r>
        <w:t xml:space="preserve">Action Status - Not Started   |   Due by - 30 Jun 2025   |   Assigned to </w:t>
      </w:r>
      <w:r w:rsidR="00520958">
        <w:t>–</w:t>
      </w:r>
      <w:r>
        <w:t xml:space="preserve"> </w:t>
      </w:r>
      <w:r w:rsidR="00520958">
        <w:t xml:space="preserve">All </w:t>
      </w:r>
      <w:r w:rsidR="00F110A8">
        <w:t>DoTs</w:t>
      </w:r>
      <w:r>
        <w:t xml:space="preserve"> </w:t>
      </w:r>
    </w:p>
    <w:p w14:paraId="459D6603" w14:textId="77777777" w:rsidR="00EA1EAF" w:rsidRDefault="00EA1EAF">
      <w:pPr>
        <w:pStyle w:val="BodyText"/>
        <w:spacing w:after="0"/>
      </w:pPr>
    </w:p>
    <w:p w14:paraId="425F5A54" w14:textId="77777777" w:rsidR="00EA1EAF" w:rsidRDefault="00EA1EAF">
      <w:pPr>
        <w:pStyle w:val="BodyText"/>
      </w:pPr>
    </w:p>
    <w:p w14:paraId="5F192F2A" w14:textId="77777777" w:rsidR="00EA1EAF" w:rsidRDefault="00BF4B80">
      <w:pPr>
        <w:pStyle w:val="Heading2"/>
      </w:pPr>
      <w:r>
        <w:t>1033.0 Chair's Action</w:t>
      </w:r>
    </w:p>
    <w:p w14:paraId="20DB70A1" w14:textId="77777777" w:rsidR="00EA1EAF" w:rsidRDefault="00EA1EAF">
      <w:pPr>
        <w:pStyle w:val="HorizontalLine"/>
      </w:pPr>
    </w:p>
    <w:p w14:paraId="4EFBD417" w14:textId="77777777" w:rsidR="00EA1EAF" w:rsidRDefault="00BF4B80">
      <w:pPr>
        <w:pStyle w:val="BodyText"/>
      </w:pPr>
      <w:r>
        <w:t>The Committee noted all Chair's Actions taken prior the meeting</w:t>
      </w:r>
    </w:p>
    <w:p w14:paraId="2E044841" w14:textId="77777777" w:rsidR="00EA1EAF" w:rsidRDefault="00EA1EAF">
      <w:pPr>
        <w:pStyle w:val="BodyText"/>
        <w:spacing w:after="0"/>
      </w:pPr>
    </w:p>
    <w:p w14:paraId="7554AD8B" w14:textId="77777777" w:rsidR="00EA1EAF" w:rsidRDefault="00EA1EAF">
      <w:pPr>
        <w:pStyle w:val="BodyText"/>
      </w:pPr>
    </w:p>
    <w:p w14:paraId="4C9295B9" w14:textId="77777777" w:rsidR="00EA1EAF" w:rsidRDefault="00BF4B80">
      <w:pPr>
        <w:pStyle w:val="Heading2"/>
      </w:pPr>
      <w:r>
        <w:lastRenderedPageBreak/>
        <w:t>1034.0 Notable Papers from University Committees</w:t>
      </w:r>
    </w:p>
    <w:p w14:paraId="7EC79846" w14:textId="77777777" w:rsidR="00EA1EAF" w:rsidRDefault="00EA1EAF">
      <w:pPr>
        <w:pStyle w:val="HorizontalLine"/>
      </w:pPr>
    </w:p>
    <w:p w14:paraId="02304CE7" w14:textId="51C7F9BC" w:rsidR="00EA1EAF" w:rsidRDefault="00BF4B80" w:rsidP="00F110A8">
      <w:pPr>
        <w:pStyle w:val="BodyText"/>
      </w:pPr>
      <w:r>
        <w:t>The Committee noted the notable papers from university committees</w:t>
      </w:r>
    </w:p>
    <w:p w14:paraId="1202EA1A" w14:textId="77777777" w:rsidR="00EA1EAF" w:rsidRDefault="00EA1EAF">
      <w:pPr>
        <w:pStyle w:val="BodyText"/>
      </w:pPr>
    </w:p>
    <w:p w14:paraId="14DB930F" w14:textId="77777777" w:rsidR="00EA1EAF" w:rsidRDefault="00BF4B80">
      <w:pPr>
        <w:pStyle w:val="Heading2"/>
      </w:pPr>
      <w:r>
        <w:t>1035.0 Faculty Committee Minutes</w:t>
      </w:r>
    </w:p>
    <w:p w14:paraId="524675F2" w14:textId="77777777" w:rsidR="00EA1EAF" w:rsidRDefault="00EA1EAF">
      <w:pPr>
        <w:pStyle w:val="HorizontalLine"/>
      </w:pPr>
    </w:p>
    <w:p w14:paraId="6BC886AB" w14:textId="3837DA8C" w:rsidR="00EA1EAF" w:rsidRDefault="00BF4B80" w:rsidP="00F110A8">
      <w:pPr>
        <w:pStyle w:val="BodyText"/>
      </w:pPr>
      <w:r>
        <w:t>The Committee noted all DLTQC minutes and the summary </w:t>
      </w:r>
    </w:p>
    <w:p w14:paraId="06E3353A" w14:textId="77777777" w:rsidR="00EA1EAF" w:rsidRDefault="00EA1EAF">
      <w:pPr>
        <w:pStyle w:val="BodyText"/>
      </w:pPr>
    </w:p>
    <w:p w14:paraId="557DA326" w14:textId="77777777" w:rsidR="00EA1EAF" w:rsidRDefault="00BF4B80">
      <w:pPr>
        <w:pStyle w:val="Heading2"/>
      </w:pPr>
      <w:r>
        <w:t>1036.0 University Committee Minutes</w:t>
      </w:r>
    </w:p>
    <w:p w14:paraId="2F5AA74C" w14:textId="77777777" w:rsidR="00EA1EAF" w:rsidRDefault="00EA1EAF">
      <w:pPr>
        <w:pStyle w:val="HorizontalLine"/>
      </w:pPr>
    </w:p>
    <w:p w14:paraId="3CE8DE30" w14:textId="77777777" w:rsidR="00EA1EAF" w:rsidRDefault="00BF4B80">
      <w:pPr>
        <w:pStyle w:val="BodyText"/>
      </w:pPr>
      <w:r>
        <w:t>The Committee noted the University-level committee minutes </w:t>
      </w:r>
    </w:p>
    <w:p w14:paraId="4CA0AA9C" w14:textId="77777777" w:rsidR="00EA1EAF" w:rsidRDefault="00EA1EAF">
      <w:pPr>
        <w:pStyle w:val="BodyText"/>
        <w:spacing w:after="0"/>
      </w:pPr>
    </w:p>
    <w:p w14:paraId="4ABDEDF9" w14:textId="77777777" w:rsidR="00EA1EAF" w:rsidRDefault="00EA1EAF">
      <w:pPr>
        <w:pStyle w:val="BodyText"/>
      </w:pPr>
    </w:p>
    <w:p w14:paraId="735F5859" w14:textId="77777777" w:rsidR="00EA1EAF" w:rsidRDefault="00BF4B80">
      <w:pPr>
        <w:pStyle w:val="Heading2"/>
      </w:pPr>
      <w:r>
        <w:t>1037.0 Any Other Business</w:t>
      </w:r>
    </w:p>
    <w:p w14:paraId="2BCD47F1" w14:textId="77777777" w:rsidR="00EA1EAF" w:rsidRDefault="00EA1EAF">
      <w:pPr>
        <w:pStyle w:val="HorizontalLine"/>
      </w:pPr>
    </w:p>
    <w:p w14:paraId="2A07D4EF" w14:textId="77777777" w:rsidR="00EA1EAF" w:rsidRDefault="00BF4B80">
      <w:pPr>
        <w:pStyle w:val="BodyText"/>
      </w:pPr>
      <w:r>
        <w:t>The Committee noted that no other business was raised.</w:t>
      </w:r>
    </w:p>
    <w:p w14:paraId="0980A47A" w14:textId="77777777" w:rsidR="00EA1EAF" w:rsidRDefault="00EA1EAF">
      <w:pPr>
        <w:pStyle w:val="BodyText"/>
        <w:spacing w:after="0"/>
      </w:pPr>
    </w:p>
    <w:sectPr w:rsidR="00EA1EAF">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sans-serif">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OpenSymbol">
    <w:altName w:val="Segoe UI Symbol"/>
    <w:charset w:val="02"/>
    <w:family w:val="auto"/>
    <w:pitch w:val="default"/>
  </w:font>
  <w:font w:name="Liberation Sans">
    <w:altName w:val="Arial"/>
    <w:charset w:val="01"/>
    <w:family w:val="swiss"/>
    <w:pitch w:val="variable"/>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26A36"/>
    <w:multiLevelType w:val="hybridMultilevel"/>
    <w:tmpl w:val="7602A0D0"/>
    <w:lvl w:ilvl="0" w:tplc="F32ED8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A56CC7"/>
    <w:multiLevelType w:val="multilevel"/>
    <w:tmpl w:val="A056ABC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40CC1461"/>
    <w:multiLevelType w:val="hybridMultilevel"/>
    <w:tmpl w:val="EAF67816"/>
    <w:lvl w:ilvl="0" w:tplc="59684D04">
      <w:start w:val="1"/>
      <w:numFmt w:val="decimal"/>
      <w:lvlText w:val="%1."/>
      <w:lvlJc w:val="left"/>
      <w:pPr>
        <w:ind w:left="720" w:hanging="360"/>
      </w:pPr>
      <w:rPr>
        <w:rFonts w:ascii="Arial;sans-serif" w:eastAsia="Arial;sans-serif" w:hAnsi="Arial;sans-serif" w:cs="Arial;sans-seri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0C2F10"/>
    <w:multiLevelType w:val="multilevel"/>
    <w:tmpl w:val="7E16B5C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4A5E3EE2"/>
    <w:multiLevelType w:val="multilevel"/>
    <w:tmpl w:val="4418C4F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1C517F8"/>
    <w:multiLevelType w:val="multilevel"/>
    <w:tmpl w:val="7A30245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7A270D91"/>
    <w:multiLevelType w:val="hybridMultilevel"/>
    <w:tmpl w:val="E6060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8689000">
    <w:abstractNumId w:val="3"/>
  </w:num>
  <w:num w:numId="2" w16cid:durableId="1063603711">
    <w:abstractNumId w:val="1"/>
  </w:num>
  <w:num w:numId="3" w16cid:durableId="329791537">
    <w:abstractNumId w:val="5"/>
  </w:num>
  <w:num w:numId="4" w16cid:durableId="1040057791">
    <w:abstractNumId w:val="4"/>
  </w:num>
  <w:num w:numId="5" w16cid:durableId="1523860869">
    <w:abstractNumId w:val="0"/>
  </w:num>
  <w:num w:numId="6" w16cid:durableId="868953467">
    <w:abstractNumId w:val="6"/>
  </w:num>
  <w:num w:numId="7" w16cid:durableId="1214386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EAF"/>
    <w:rsid w:val="0001418D"/>
    <w:rsid w:val="00444674"/>
    <w:rsid w:val="00520958"/>
    <w:rsid w:val="00595D66"/>
    <w:rsid w:val="005C04A4"/>
    <w:rsid w:val="00713DBA"/>
    <w:rsid w:val="009E6C21"/>
    <w:rsid w:val="00AF3A5E"/>
    <w:rsid w:val="00BF4B80"/>
    <w:rsid w:val="00D727F1"/>
    <w:rsid w:val="00D954CF"/>
    <w:rsid w:val="00E36B6F"/>
    <w:rsid w:val="00EA1EAF"/>
    <w:rsid w:val="00EB160F"/>
    <w:rsid w:val="00EF46C3"/>
    <w:rsid w:val="00F110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D958"/>
  <w15:docId w15:val="{69F6C9BB-CC55-470A-B0E5-811EF21E9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styleId="ListParagraph">
    <w:name w:val="List Paragraph"/>
    <w:basedOn w:val="Normal"/>
    <w:uiPriority w:val="34"/>
    <w:qFormat/>
    <w:rsid w:val="00F110A8"/>
    <w:pPr>
      <w:widowControl/>
      <w:suppressAutoHyphens w:val="0"/>
      <w:spacing w:after="160" w:line="278" w:lineRule="auto"/>
      <w:ind w:left="720"/>
      <w:contextualSpacing/>
    </w:pPr>
    <w:rPr>
      <w:rFonts w:asciiTheme="minorHAnsi" w:eastAsiaTheme="minorHAnsi" w:hAnsiTheme="minorHAnsi" w:cstheme="minorBidi"/>
      <w:kern w:val="2"/>
      <w:lang w:val="en-GB" w:eastAsia="en-US" w:bidi="ar-SA"/>
      <w14:ligatures w14:val="standardContextual"/>
    </w:rPr>
  </w:style>
  <w:style w:type="table" w:styleId="TableGrid">
    <w:name w:val="Table Grid"/>
    <w:basedOn w:val="TableNormal"/>
    <w:uiPriority w:val="39"/>
    <w:rsid w:val="00F110A8"/>
    <w:pPr>
      <w:suppressAutoHyphens w:val="0"/>
    </w:pPr>
    <w:rPr>
      <w:rFonts w:asciiTheme="minorHAnsi" w:eastAsiaTheme="minorHAnsi" w:hAnsiTheme="minorHAnsi" w:cstheme="minorBidi"/>
      <w:kern w:val="2"/>
      <w:lang w:val="en-GB" w:eastAsia="en-US"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6C21"/>
    <w:pPr>
      <w:suppressAutoHyphens w:val="0"/>
    </w:pPr>
    <w:rPr>
      <w:rFonts w:ascii="Arial;sans-serif" w:eastAsia="Arial;sans-serif" w:hAnsi="Arial;sans-serif" w:cs="Mangal"/>
      <w:szCs w:val="21"/>
    </w:rPr>
  </w:style>
  <w:style w:type="character" w:styleId="CommentReference">
    <w:name w:val="annotation reference"/>
    <w:basedOn w:val="DefaultParagraphFont"/>
    <w:uiPriority w:val="99"/>
    <w:semiHidden/>
    <w:unhideWhenUsed/>
    <w:rsid w:val="009E6C21"/>
    <w:rPr>
      <w:sz w:val="16"/>
      <w:szCs w:val="16"/>
    </w:rPr>
  </w:style>
  <w:style w:type="paragraph" w:styleId="CommentText">
    <w:name w:val="annotation text"/>
    <w:basedOn w:val="Normal"/>
    <w:link w:val="CommentTextChar"/>
    <w:uiPriority w:val="99"/>
    <w:unhideWhenUsed/>
    <w:rsid w:val="009E6C21"/>
    <w:rPr>
      <w:rFonts w:cs="Mangal"/>
      <w:sz w:val="20"/>
      <w:szCs w:val="18"/>
    </w:rPr>
  </w:style>
  <w:style w:type="character" w:customStyle="1" w:styleId="CommentTextChar">
    <w:name w:val="Comment Text Char"/>
    <w:basedOn w:val="DefaultParagraphFont"/>
    <w:link w:val="CommentText"/>
    <w:uiPriority w:val="99"/>
    <w:rsid w:val="009E6C21"/>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9E6C21"/>
    <w:rPr>
      <w:b/>
      <w:bCs/>
    </w:rPr>
  </w:style>
  <w:style w:type="character" w:customStyle="1" w:styleId="CommentSubjectChar">
    <w:name w:val="Comment Subject Char"/>
    <w:basedOn w:val="CommentTextChar"/>
    <w:link w:val="CommentSubject"/>
    <w:uiPriority w:val="99"/>
    <w:semiHidden/>
    <w:rsid w:val="009E6C21"/>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1115">
      <w:bodyDiv w:val="1"/>
      <w:marLeft w:val="0"/>
      <w:marRight w:val="0"/>
      <w:marTop w:val="0"/>
      <w:marBottom w:val="0"/>
      <w:divBdr>
        <w:top w:val="none" w:sz="0" w:space="0" w:color="auto"/>
        <w:left w:val="none" w:sz="0" w:space="0" w:color="auto"/>
        <w:bottom w:val="none" w:sz="0" w:space="0" w:color="auto"/>
        <w:right w:val="none" w:sz="0" w:space="0" w:color="auto"/>
      </w:divBdr>
      <w:divsChild>
        <w:div w:id="395396928">
          <w:marLeft w:val="0"/>
          <w:marRight w:val="0"/>
          <w:marTop w:val="0"/>
          <w:marBottom w:val="160"/>
          <w:divBdr>
            <w:top w:val="none" w:sz="0" w:space="0" w:color="auto"/>
            <w:left w:val="none" w:sz="0" w:space="0" w:color="auto"/>
            <w:bottom w:val="none" w:sz="0" w:space="0" w:color="auto"/>
            <w:right w:val="none" w:sz="0" w:space="0" w:color="auto"/>
          </w:divBdr>
        </w:div>
        <w:div w:id="182012566">
          <w:marLeft w:val="0"/>
          <w:marRight w:val="0"/>
          <w:marTop w:val="0"/>
          <w:marBottom w:val="160"/>
          <w:divBdr>
            <w:top w:val="none" w:sz="0" w:space="0" w:color="auto"/>
            <w:left w:val="none" w:sz="0" w:space="0" w:color="auto"/>
            <w:bottom w:val="none" w:sz="0" w:space="0" w:color="auto"/>
            <w:right w:val="none" w:sz="0" w:space="0" w:color="auto"/>
          </w:divBdr>
        </w:div>
        <w:div w:id="2106463854">
          <w:marLeft w:val="0"/>
          <w:marRight w:val="0"/>
          <w:marTop w:val="0"/>
          <w:marBottom w:val="160"/>
          <w:divBdr>
            <w:top w:val="none" w:sz="0" w:space="0" w:color="auto"/>
            <w:left w:val="none" w:sz="0" w:space="0" w:color="auto"/>
            <w:bottom w:val="none" w:sz="0" w:space="0" w:color="auto"/>
            <w:right w:val="none" w:sz="0" w:space="0" w:color="auto"/>
          </w:divBdr>
        </w:div>
        <w:div w:id="1979410750">
          <w:marLeft w:val="0"/>
          <w:marRight w:val="0"/>
          <w:marTop w:val="0"/>
          <w:marBottom w:val="160"/>
          <w:divBdr>
            <w:top w:val="none" w:sz="0" w:space="0" w:color="auto"/>
            <w:left w:val="none" w:sz="0" w:space="0" w:color="auto"/>
            <w:bottom w:val="none" w:sz="0" w:space="0" w:color="auto"/>
            <w:right w:val="none" w:sz="0" w:space="0" w:color="auto"/>
          </w:divBdr>
        </w:div>
        <w:div w:id="666321817">
          <w:marLeft w:val="0"/>
          <w:marRight w:val="0"/>
          <w:marTop w:val="0"/>
          <w:marBottom w:val="160"/>
          <w:divBdr>
            <w:top w:val="none" w:sz="0" w:space="0" w:color="auto"/>
            <w:left w:val="none" w:sz="0" w:space="0" w:color="auto"/>
            <w:bottom w:val="none" w:sz="0" w:space="0" w:color="auto"/>
            <w:right w:val="none" w:sz="0" w:space="0" w:color="auto"/>
          </w:divBdr>
        </w:div>
        <w:div w:id="1874685037">
          <w:marLeft w:val="0"/>
          <w:marRight w:val="0"/>
          <w:marTop w:val="0"/>
          <w:marBottom w:val="160"/>
          <w:divBdr>
            <w:top w:val="none" w:sz="0" w:space="0" w:color="auto"/>
            <w:left w:val="none" w:sz="0" w:space="0" w:color="auto"/>
            <w:bottom w:val="none" w:sz="0" w:space="0" w:color="auto"/>
            <w:right w:val="none" w:sz="0" w:space="0" w:color="auto"/>
          </w:divBdr>
        </w:div>
        <w:div w:id="1146356889">
          <w:marLeft w:val="0"/>
          <w:marRight w:val="0"/>
          <w:marTop w:val="0"/>
          <w:marBottom w:val="160"/>
          <w:divBdr>
            <w:top w:val="none" w:sz="0" w:space="0" w:color="auto"/>
            <w:left w:val="none" w:sz="0" w:space="0" w:color="auto"/>
            <w:bottom w:val="none" w:sz="0" w:space="0" w:color="auto"/>
            <w:right w:val="none" w:sz="0" w:space="0" w:color="auto"/>
          </w:divBdr>
        </w:div>
        <w:div w:id="1597667950">
          <w:marLeft w:val="0"/>
          <w:marRight w:val="0"/>
          <w:marTop w:val="0"/>
          <w:marBottom w:val="160"/>
          <w:divBdr>
            <w:top w:val="none" w:sz="0" w:space="0" w:color="auto"/>
            <w:left w:val="none" w:sz="0" w:space="0" w:color="auto"/>
            <w:bottom w:val="none" w:sz="0" w:space="0" w:color="auto"/>
            <w:right w:val="none" w:sz="0" w:space="0" w:color="auto"/>
          </w:divBdr>
        </w:div>
        <w:div w:id="1814565732">
          <w:marLeft w:val="0"/>
          <w:marRight w:val="0"/>
          <w:marTop w:val="0"/>
          <w:marBottom w:val="160"/>
          <w:divBdr>
            <w:top w:val="none" w:sz="0" w:space="0" w:color="auto"/>
            <w:left w:val="none" w:sz="0" w:space="0" w:color="auto"/>
            <w:bottom w:val="none" w:sz="0" w:space="0" w:color="auto"/>
            <w:right w:val="none" w:sz="0" w:space="0" w:color="auto"/>
          </w:divBdr>
        </w:div>
        <w:div w:id="1657418062">
          <w:marLeft w:val="0"/>
          <w:marRight w:val="0"/>
          <w:marTop w:val="0"/>
          <w:marBottom w:val="160"/>
          <w:divBdr>
            <w:top w:val="none" w:sz="0" w:space="0" w:color="auto"/>
            <w:left w:val="none" w:sz="0" w:space="0" w:color="auto"/>
            <w:bottom w:val="none" w:sz="0" w:space="0" w:color="auto"/>
            <w:right w:val="none" w:sz="0" w:space="0" w:color="auto"/>
          </w:divBdr>
        </w:div>
        <w:div w:id="633758050">
          <w:marLeft w:val="0"/>
          <w:marRight w:val="0"/>
          <w:marTop w:val="0"/>
          <w:marBottom w:val="160"/>
          <w:divBdr>
            <w:top w:val="none" w:sz="0" w:space="0" w:color="auto"/>
            <w:left w:val="none" w:sz="0" w:space="0" w:color="auto"/>
            <w:bottom w:val="none" w:sz="0" w:space="0" w:color="auto"/>
            <w:right w:val="none" w:sz="0" w:space="0" w:color="auto"/>
          </w:divBdr>
        </w:div>
      </w:divsChild>
    </w:div>
    <w:div w:id="304089607">
      <w:bodyDiv w:val="1"/>
      <w:marLeft w:val="0"/>
      <w:marRight w:val="0"/>
      <w:marTop w:val="0"/>
      <w:marBottom w:val="0"/>
      <w:divBdr>
        <w:top w:val="none" w:sz="0" w:space="0" w:color="auto"/>
        <w:left w:val="none" w:sz="0" w:space="0" w:color="auto"/>
        <w:bottom w:val="none" w:sz="0" w:space="0" w:color="auto"/>
        <w:right w:val="none" w:sz="0" w:space="0" w:color="auto"/>
      </w:divBdr>
    </w:div>
    <w:div w:id="433718633">
      <w:bodyDiv w:val="1"/>
      <w:marLeft w:val="0"/>
      <w:marRight w:val="0"/>
      <w:marTop w:val="0"/>
      <w:marBottom w:val="0"/>
      <w:divBdr>
        <w:top w:val="none" w:sz="0" w:space="0" w:color="auto"/>
        <w:left w:val="none" w:sz="0" w:space="0" w:color="auto"/>
        <w:bottom w:val="none" w:sz="0" w:space="0" w:color="auto"/>
        <w:right w:val="none" w:sz="0" w:space="0" w:color="auto"/>
      </w:divBdr>
    </w:div>
    <w:div w:id="498274616">
      <w:bodyDiv w:val="1"/>
      <w:marLeft w:val="0"/>
      <w:marRight w:val="0"/>
      <w:marTop w:val="0"/>
      <w:marBottom w:val="0"/>
      <w:divBdr>
        <w:top w:val="none" w:sz="0" w:space="0" w:color="auto"/>
        <w:left w:val="none" w:sz="0" w:space="0" w:color="auto"/>
        <w:bottom w:val="none" w:sz="0" w:space="0" w:color="auto"/>
        <w:right w:val="none" w:sz="0" w:space="0" w:color="auto"/>
      </w:divBdr>
      <w:divsChild>
        <w:div w:id="137192478">
          <w:marLeft w:val="0"/>
          <w:marRight w:val="0"/>
          <w:marTop w:val="0"/>
          <w:marBottom w:val="160"/>
          <w:divBdr>
            <w:top w:val="none" w:sz="0" w:space="0" w:color="auto"/>
            <w:left w:val="none" w:sz="0" w:space="0" w:color="auto"/>
            <w:bottom w:val="none" w:sz="0" w:space="0" w:color="auto"/>
            <w:right w:val="none" w:sz="0" w:space="0" w:color="auto"/>
          </w:divBdr>
        </w:div>
        <w:div w:id="2065836610">
          <w:marLeft w:val="0"/>
          <w:marRight w:val="0"/>
          <w:marTop w:val="0"/>
          <w:marBottom w:val="160"/>
          <w:divBdr>
            <w:top w:val="none" w:sz="0" w:space="0" w:color="auto"/>
            <w:left w:val="none" w:sz="0" w:space="0" w:color="auto"/>
            <w:bottom w:val="none" w:sz="0" w:space="0" w:color="auto"/>
            <w:right w:val="none" w:sz="0" w:space="0" w:color="auto"/>
          </w:divBdr>
        </w:div>
        <w:div w:id="1265260511">
          <w:marLeft w:val="0"/>
          <w:marRight w:val="0"/>
          <w:marTop w:val="0"/>
          <w:marBottom w:val="160"/>
          <w:divBdr>
            <w:top w:val="none" w:sz="0" w:space="0" w:color="auto"/>
            <w:left w:val="none" w:sz="0" w:space="0" w:color="auto"/>
            <w:bottom w:val="none" w:sz="0" w:space="0" w:color="auto"/>
            <w:right w:val="none" w:sz="0" w:space="0" w:color="auto"/>
          </w:divBdr>
        </w:div>
        <w:div w:id="369721031">
          <w:marLeft w:val="0"/>
          <w:marRight w:val="0"/>
          <w:marTop w:val="0"/>
          <w:marBottom w:val="160"/>
          <w:divBdr>
            <w:top w:val="none" w:sz="0" w:space="0" w:color="auto"/>
            <w:left w:val="none" w:sz="0" w:space="0" w:color="auto"/>
            <w:bottom w:val="none" w:sz="0" w:space="0" w:color="auto"/>
            <w:right w:val="none" w:sz="0" w:space="0" w:color="auto"/>
          </w:divBdr>
        </w:div>
        <w:div w:id="885331667">
          <w:marLeft w:val="0"/>
          <w:marRight w:val="0"/>
          <w:marTop w:val="0"/>
          <w:marBottom w:val="160"/>
          <w:divBdr>
            <w:top w:val="none" w:sz="0" w:space="0" w:color="auto"/>
            <w:left w:val="none" w:sz="0" w:space="0" w:color="auto"/>
            <w:bottom w:val="none" w:sz="0" w:space="0" w:color="auto"/>
            <w:right w:val="none" w:sz="0" w:space="0" w:color="auto"/>
          </w:divBdr>
        </w:div>
        <w:div w:id="970332057">
          <w:marLeft w:val="0"/>
          <w:marRight w:val="0"/>
          <w:marTop w:val="0"/>
          <w:marBottom w:val="160"/>
          <w:divBdr>
            <w:top w:val="none" w:sz="0" w:space="0" w:color="auto"/>
            <w:left w:val="none" w:sz="0" w:space="0" w:color="auto"/>
            <w:bottom w:val="none" w:sz="0" w:space="0" w:color="auto"/>
            <w:right w:val="none" w:sz="0" w:space="0" w:color="auto"/>
          </w:divBdr>
        </w:div>
        <w:div w:id="1783332577">
          <w:marLeft w:val="0"/>
          <w:marRight w:val="0"/>
          <w:marTop w:val="0"/>
          <w:marBottom w:val="160"/>
          <w:divBdr>
            <w:top w:val="none" w:sz="0" w:space="0" w:color="auto"/>
            <w:left w:val="none" w:sz="0" w:space="0" w:color="auto"/>
            <w:bottom w:val="none" w:sz="0" w:space="0" w:color="auto"/>
            <w:right w:val="none" w:sz="0" w:space="0" w:color="auto"/>
          </w:divBdr>
        </w:div>
        <w:div w:id="589655753">
          <w:marLeft w:val="0"/>
          <w:marRight w:val="0"/>
          <w:marTop w:val="0"/>
          <w:marBottom w:val="160"/>
          <w:divBdr>
            <w:top w:val="none" w:sz="0" w:space="0" w:color="auto"/>
            <w:left w:val="none" w:sz="0" w:space="0" w:color="auto"/>
            <w:bottom w:val="none" w:sz="0" w:space="0" w:color="auto"/>
            <w:right w:val="none" w:sz="0" w:space="0" w:color="auto"/>
          </w:divBdr>
        </w:div>
        <w:div w:id="868445375">
          <w:marLeft w:val="0"/>
          <w:marRight w:val="0"/>
          <w:marTop w:val="0"/>
          <w:marBottom w:val="160"/>
          <w:divBdr>
            <w:top w:val="none" w:sz="0" w:space="0" w:color="auto"/>
            <w:left w:val="none" w:sz="0" w:space="0" w:color="auto"/>
            <w:bottom w:val="none" w:sz="0" w:space="0" w:color="auto"/>
            <w:right w:val="none" w:sz="0" w:space="0" w:color="auto"/>
          </w:divBdr>
        </w:div>
        <w:div w:id="77337649">
          <w:marLeft w:val="0"/>
          <w:marRight w:val="0"/>
          <w:marTop w:val="0"/>
          <w:marBottom w:val="160"/>
          <w:divBdr>
            <w:top w:val="none" w:sz="0" w:space="0" w:color="auto"/>
            <w:left w:val="none" w:sz="0" w:space="0" w:color="auto"/>
            <w:bottom w:val="none" w:sz="0" w:space="0" w:color="auto"/>
            <w:right w:val="none" w:sz="0" w:space="0" w:color="auto"/>
          </w:divBdr>
        </w:div>
        <w:div w:id="396830680">
          <w:marLeft w:val="0"/>
          <w:marRight w:val="0"/>
          <w:marTop w:val="0"/>
          <w:marBottom w:val="160"/>
          <w:divBdr>
            <w:top w:val="none" w:sz="0" w:space="0" w:color="auto"/>
            <w:left w:val="none" w:sz="0" w:space="0" w:color="auto"/>
            <w:bottom w:val="none" w:sz="0" w:space="0" w:color="auto"/>
            <w:right w:val="none" w:sz="0" w:space="0" w:color="auto"/>
          </w:divBdr>
        </w:div>
      </w:divsChild>
    </w:div>
    <w:div w:id="911701735">
      <w:bodyDiv w:val="1"/>
      <w:marLeft w:val="0"/>
      <w:marRight w:val="0"/>
      <w:marTop w:val="0"/>
      <w:marBottom w:val="0"/>
      <w:divBdr>
        <w:top w:val="none" w:sz="0" w:space="0" w:color="auto"/>
        <w:left w:val="none" w:sz="0" w:space="0" w:color="auto"/>
        <w:bottom w:val="none" w:sz="0" w:space="0" w:color="auto"/>
        <w:right w:val="none" w:sz="0" w:space="0" w:color="auto"/>
      </w:divBdr>
    </w:div>
    <w:div w:id="15555778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CE47A-CFDE-4750-8E31-74B2BF4F4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9</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14417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Tu Anh Do</cp:lastModifiedBy>
  <cp:revision>7</cp:revision>
  <dcterms:created xsi:type="dcterms:W3CDTF">2025-06-20T09:16:00Z</dcterms:created>
  <dcterms:modified xsi:type="dcterms:W3CDTF">2025-06-24T13:20:00Z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