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F940" w14:textId="77777777" w:rsidR="00B70EE1" w:rsidRDefault="00416EA3" w:rsidP="00416EA3">
      <w:pPr>
        <w:pStyle w:val="Heading1"/>
        <w:jc w:val="both"/>
      </w:pPr>
      <w:r>
        <w:t>HSS FLTQC</w:t>
      </w:r>
    </w:p>
    <w:p w14:paraId="35110004" w14:textId="77777777" w:rsidR="00B70EE1" w:rsidRDefault="00416EA3" w:rsidP="00416EA3">
      <w:pPr>
        <w:pStyle w:val="BodyText"/>
        <w:jc w:val="both"/>
      </w:pPr>
      <w:r>
        <w:t>Wednesday, 27th November 2024 1:15 pm</w:t>
      </w:r>
    </w:p>
    <w:p w14:paraId="683A6547" w14:textId="77777777" w:rsidR="00B70EE1" w:rsidRDefault="00416EA3" w:rsidP="00416EA3">
      <w:pPr>
        <w:pStyle w:val="BodyText"/>
        <w:jc w:val="both"/>
      </w:pPr>
      <w:r>
        <w:t>Online   |   HSS Faculty Learning, Teaching and Quality Committee</w:t>
      </w:r>
    </w:p>
    <w:p w14:paraId="234C4E1B" w14:textId="77777777" w:rsidR="00B70EE1" w:rsidRDefault="00B70EE1" w:rsidP="00416EA3">
      <w:pPr>
        <w:pStyle w:val="BodyText"/>
        <w:jc w:val="both"/>
      </w:pPr>
    </w:p>
    <w:p w14:paraId="415D1835" w14:textId="77777777" w:rsidR="00B70EE1" w:rsidRDefault="00416EA3" w:rsidP="00416EA3">
      <w:pPr>
        <w:pStyle w:val="Heading2"/>
        <w:jc w:val="both"/>
      </w:pPr>
      <w:r>
        <w:t>Attendees</w:t>
      </w:r>
    </w:p>
    <w:p w14:paraId="2B767E26" w14:textId="77777777" w:rsidR="00B70EE1" w:rsidRDefault="00B70EE1" w:rsidP="00416EA3">
      <w:pPr>
        <w:pStyle w:val="HorizontalLine"/>
        <w:jc w:val="both"/>
      </w:pPr>
    </w:p>
    <w:p w14:paraId="7D032647" w14:textId="77777777" w:rsidR="00B86440" w:rsidRDefault="00B86440" w:rsidP="00416EA3">
      <w:pPr>
        <w:pStyle w:val="Heading4"/>
        <w:jc w:val="both"/>
      </w:pPr>
      <w:r>
        <w:t>Attended</w:t>
      </w:r>
    </w:p>
    <w:p w14:paraId="7CE06AE0" w14:textId="77777777" w:rsidR="00B86440" w:rsidRDefault="00B86440" w:rsidP="00416EA3">
      <w:pPr>
        <w:pStyle w:val="Heading4"/>
        <w:jc w:val="both"/>
        <w:rPr>
          <w:b w:val="0"/>
        </w:rPr>
      </w:pPr>
      <w:r>
        <w:rPr>
          <w:b w:val="0"/>
        </w:rPr>
        <w:t xml:space="preserve">Mattia </w:t>
      </w:r>
      <w:proofErr w:type="spellStart"/>
      <w:r>
        <w:rPr>
          <w:b w:val="0"/>
        </w:rPr>
        <w:t>Cacciatori</w:t>
      </w:r>
      <w:proofErr w:type="spellEnd"/>
      <w:r>
        <w:rPr>
          <w:b w:val="0"/>
        </w:rPr>
        <w:t xml:space="preserve"> </w:t>
      </w:r>
    </w:p>
    <w:p w14:paraId="48710198" w14:textId="77777777" w:rsidR="00B86440" w:rsidRDefault="00B86440" w:rsidP="00416EA3">
      <w:pPr>
        <w:pStyle w:val="Heading4"/>
        <w:jc w:val="both"/>
        <w:rPr>
          <w:b w:val="0"/>
        </w:rPr>
      </w:pPr>
      <w:r>
        <w:rPr>
          <w:b w:val="0"/>
        </w:rPr>
        <w:t xml:space="preserve">Maria Clutterbuck </w:t>
      </w:r>
    </w:p>
    <w:p w14:paraId="3257058D" w14:textId="77777777" w:rsidR="00B86440" w:rsidRDefault="00B86440" w:rsidP="00416EA3">
      <w:pPr>
        <w:pStyle w:val="Heading4"/>
        <w:jc w:val="both"/>
        <w:rPr>
          <w:b w:val="0"/>
        </w:rPr>
      </w:pPr>
      <w:r>
        <w:rPr>
          <w:b w:val="0"/>
        </w:rPr>
        <w:t xml:space="preserve">Matteo De Tina </w:t>
      </w:r>
    </w:p>
    <w:p w14:paraId="4F7CCA30" w14:textId="77777777" w:rsidR="00B86440" w:rsidRDefault="00B86440" w:rsidP="00416EA3">
      <w:pPr>
        <w:pStyle w:val="Heading4"/>
        <w:jc w:val="both"/>
        <w:rPr>
          <w:b w:val="0"/>
        </w:rPr>
      </w:pPr>
      <w:r>
        <w:rPr>
          <w:b w:val="0"/>
        </w:rPr>
        <w:t xml:space="preserve">Tu Anh Do </w:t>
      </w:r>
    </w:p>
    <w:p w14:paraId="016576B9" w14:textId="77777777" w:rsidR="00B86440" w:rsidRDefault="00B86440" w:rsidP="00416EA3">
      <w:pPr>
        <w:pStyle w:val="Heading4"/>
        <w:jc w:val="both"/>
        <w:rPr>
          <w:b w:val="0"/>
        </w:rPr>
      </w:pPr>
      <w:r>
        <w:rPr>
          <w:b w:val="0"/>
        </w:rPr>
        <w:t xml:space="preserve">Rhiannon Edwards </w:t>
      </w:r>
    </w:p>
    <w:p w14:paraId="2C883E2C" w14:textId="77777777" w:rsidR="00B86440" w:rsidRDefault="00B86440" w:rsidP="00416EA3">
      <w:pPr>
        <w:pStyle w:val="Heading4"/>
        <w:jc w:val="both"/>
        <w:rPr>
          <w:b w:val="0"/>
        </w:rPr>
      </w:pPr>
      <w:r>
        <w:rPr>
          <w:b w:val="0"/>
        </w:rPr>
        <w:t xml:space="preserve">James Fern </w:t>
      </w:r>
    </w:p>
    <w:p w14:paraId="01C5E2D9" w14:textId="77777777" w:rsidR="00B86440" w:rsidRDefault="00B86440" w:rsidP="00416EA3">
      <w:pPr>
        <w:pStyle w:val="Heading4"/>
        <w:jc w:val="both"/>
        <w:rPr>
          <w:b w:val="0"/>
        </w:rPr>
      </w:pPr>
      <w:r>
        <w:rPr>
          <w:b w:val="0"/>
        </w:rPr>
        <w:t xml:space="preserve">Gail </w:t>
      </w:r>
      <w:proofErr w:type="spellStart"/>
      <w:r>
        <w:rPr>
          <w:b w:val="0"/>
        </w:rPr>
        <w:t>Forey</w:t>
      </w:r>
      <w:proofErr w:type="spellEnd"/>
      <w:r>
        <w:rPr>
          <w:b w:val="0"/>
        </w:rPr>
        <w:t xml:space="preserve"> </w:t>
      </w:r>
    </w:p>
    <w:p w14:paraId="1F9C5B0A" w14:textId="77777777" w:rsidR="00B86440" w:rsidRDefault="00B86440" w:rsidP="00416EA3">
      <w:pPr>
        <w:pStyle w:val="Heading4"/>
        <w:jc w:val="both"/>
        <w:rPr>
          <w:b w:val="0"/>
        </w:rPr>
      </w:pPr>
      <w:proofErr w:type="spellStart"/>
      <w:r>
        <w:rPr>
          <w:b w:val="0"/>
        </w:rPr>
        <w:t>MariCarmen</w:t>
      </w:r>
      <w:proofErr w:type="spellEnd"/>
      <w:r>
        <w:rPr>
          <w:b w:val="0"/>
        </w:rPr>
        <w:t xml:space="preserve"> Gil Ortega </w:t>
      </w:r>
    </w:p>
    <w:p w14:paraId="4C5D534E" w14:textId="77777777" w:rsidR="00B86440" w:rsidRDefault="00B86440" w:rsidP="00416EA3">
      <w:pPr>
        <w:pStyle w:val="Heading4"/>
        <w:jc w:val="both"/>
        <w:rPr>
          <w:b w:val="0"/>
        </w:rPr>
      </w:pPr>
      <w:r>
        <w:rPr>
          <w:b w:val="0"/>
        </w:rPr>
        <w:t xml:space="preserve">Jason Hart </w:t>
      </w:r>
    </w:p>
    <w:p w14:paraId="3351C72B" w14:textId="77777777" w:rsidR="00B86440" w:rsidRDefault="00B86440" w:rsidP="00416EA3">
      <w:pPr>
        <w:pStyle w:val="Heading4"/>
        <w:jc w:val="both"/>
        <w:rPr>
          <w:b w:val="0"/>
        </w:rPr>
      </w:pPr>
      <w:r>
        <w:rPr>
          <w:b w:val="0"/>
        </w:rPr>
        <w:t xml:space="preserve">Ed Mason </w:t>
      </w:r>
    </w:p>
    <w:p w14:paraId="63528719" w14:textId="77777777" w:rsidR="00B86440" w:rsidRDefault="00B86440" w:rsidP="00416EA3">
      <w:pPr>
        <w:pStyle w:val="Heading4"/>
        <w:jc w:val="both"/>
        <w:rPr>
          <w:b w:val="0"/>
        </w:rPr>
      </w:pPr>
      <w:r>
        <w:rPr>
          <w:b w:val="0"/>
        </w:rPr>
        <w:t xml:space="preserve">Lucy Noble </w:t>
      </w:r>
    </w:p>
    <w:p w14:paraId="7015B90C" w14:textId="77777777" w:rsidR="00B86440" w:rsidRDefault="00B86440" w:rsidP="00416EA3">
      <w:pPr>
        <w:pStyle w:val="Heading4"/>
        <w:jc w:val="both"/>
        <w:rPr>
          <w:b w:val="0"/>
        </w:rPr>
      </w:pPr>
      <w:proofErr w:type="spellStart"/>
      <w:r>
        <w:rPr>
          <w:b w:val="0"/>
        </w:rPr>
        <w:t>Arshiya</w:t>
      </w:r>
      <w:proofErr w:type="spellEnd"/>
      <w:r>
        <w:rPr>
          <w:b w:val="0"/>
        </w:rPr>
        <w:t xml:space="preserve"> Sachdeva </w:t>
      </w:r>
    </w:p>
    <w:p w14:paraId="0C6901F1" w14:textId="77777777" w:rsidR="00B86440" w:rsidRDefault="00B86440" w:rsidP="00416EA3">
      <w:pPr>
        <w:pStyle w:val="Heading4"/>
        <w:jc w:val="both"/>
        <w:rPr>
          <w:b w:val="0"/>
        </w:rPr>
      </w:pPr>
      <w:r>
        <w:rPr>
          <w:b w:val="0"/>
        </w:rPr>
        <w:t xml:space="preserve">Christel Schneider </w:t>
      </w:r>
    </w:p>
    <w:p w14:paraId="337C2257" w14:textId="77777777" w:rsidR="00B86440" w:rsidRDefault="00B86440" w:rsidP="00416EA3">
      <w:pPr>
        <w:pStyle w:val="Heading4"/>
        <w:jc w:val="both"/>
        <w:rPr>
          <w:b w:val="0"/>
        </w:rPr>
      </w:pPr>
      <w:r>
        <w:rPr>
          <w:b w:val="0"/>
        </w:rPr>
        <w:t xml:space="preserve">Annika </w:t>
      </w:r>
      <w:proofErr w:type="spellStart"/>
      <w:r>
        <w:rPr>
          <w:b w:val="0"/>
        </w:rPr>
        <w:t>Theilgaard</w:t>
      </w:r>
      <w:proofErr w:type="spellEnd"/>
      <w:r>
        <w:rPr>
          <w:b w:val="0"/>
        </w:rPr>
        <w:t xml:space="preserve"> </w:t>
      </w:r>
    </w:p>
    <w:p w14:paraId="3C3E2864" w14:textId="77777777" w:rsidR="00B86440" w:rsidRDefault="00B86440" w:rsidP="00416EA3">
      <w:pPr>
        <w:pStyle w:val="Heading4"/>
        <w:jc w:val="both"/>
        <w:rPr>
          <w:b w:val="0"/>
        </w:rPr>
      </w:pPr>
      <w:r>
        <w:rPr>
          <w:b w:val="0"/>
        </w:rPr>
        <w:t xml:space="preserve">Sophia Ward </w:t>
      </w:r>
    </w:p>
    <w:p w14:paraId="37A0546D" w14:textId="77777777" w:rsidR="00B86440" w:rsidRDefault="00B86440" w:rsidP="00416EA3">
      <w:pPr>
        <w:pStyle w:val="Heading4"/>
        <w:jc w:val="both"/>
        <w:rPr>
          <w:b w:val="0"/>
        </w:rPr>
      </w:pPr>
      <w:r>
        <w:rPr>
          <w:b w:val="0"/>
        </w:rPr>
        <w:t xml:space="preserve">Elise </w:t>
      </w:r>
      <w:proofErr w:type="spellStart"/>
      <w:r>
        <w:rPr>
          <w:b w:val="0"/>
        </w:rPr>
        <w:t>Whittleton</w:t>
      </w:r>
      <w:proofErr w:type="spellEnd"/>
      <w:r>
        <w:rPr>
          <w:b w:val="0"/>
        </w:rPr>
        <w:t xml:space="preserve"> </w:t>
      </w:r>
    </w:p>
    <w:p w14:paraId="1CD3BA1C" w14:textId="77777777" w:rsidR="00B86440" w:rsidRDefault="00B86440" w:rsidP="00416EA3">
      <w:pPr>
        <w:pStyle w:val="Heading4"/>
        <w:jc w:val="both"/>
        <w:rPr>
          <w:b w:val="0"/>
        </w:rPr>
      </w:pPr>
      <w:r>
        <w:rPr>
          <w:b w:val="0"/>
        </w:rPr>
        <w:t xml:space="preserve">Florin Bisset </w:t>
      </w:r>
    </w:p>
    <w:p w14:paraId="019775DA" w14:textId="77777777" w:rsidR="00B86440" w:rsidRDefault="00B86440" w:rsidP="00416EA3">
      <w:pPr>
        <w:pStyle w:val="Heading4"/>
        <w:jc w:val="both"/>
        <w:rPr>
          <w:b w:val="0"/>
        </w:rPr>
      </w:pPr>
      <w:r>
        <w:rPr>
          <w:b w:val="0"/>
        </w:rPr>
        <w:t xml:space="preserve">Kate </w:t>
      </w:r>
      <w:proofErr w:type="spellStart"/>
      <w:r>
        <w:rPr>
          <w:b w:val="0"/>
        </w:rPr>
        <w:t>Woodthorpe</w:t>
      </w:r>
      <w:proofErr w:type="spellEnd"/>
    </w:p>
    <w:p w14:paraId="2A90F015" w14:textId="77777777" w:rsidR="00B86440" w:rsidRDefault="00B86440" w:rsidP="00416EA3">
      <w:pPr>
        <w:pStyle w:val="BodyText"/>
        <w:spacing w:before="80" w:after="80"/>
        <w:jc w:val="both"/>
      </w:pPr>
      <w:r>
        <w:t>Emily Richards</w:t>
      </w:r>
    </w:p>
    <w:p w14:paraId="15571ED7" w14:textId="77777777" w:rsidR="00B86440" w:rsidRDefault="00B86440" w:rsidP="00416EA3">
      <w:pPr>
        <w:pStyle w:val="BodyText"/>
        <w:spacing w:before="80" w:after="80"/>
        <w:jc w:val="both"/>
      </w:pPr>
      <w:r>
        <w:t>Heather Kubiak</w:t>
      </w:r>
    </w:p>
    <w:p w14:paraId="4A46C87A" w14:textId="77777777" w:rsidR="00B86440" w:rsidRPr="006F2B7E" w:rsidRDefault="00B86440" w:rsidP="00416EA3">
      <w:pPr>
        <w:pStyle w:val="BodyText"/>
        <w:spacing w:before="80" w:after="80"/>
        <w:jc w:val="both"/>
      </w:pPr>
      <w:r>
        <w:t>Frances Laughton</w:t>
      </w:r>
    </w:p>
    <w:p w14:paraId="1885D284" w14:textId="77777777" w:rsidR="00B86440" w:rsidRDefault="00B86440" w:rsidP="00416EA3">
      <w:pPr>
        <w:pStyle w:val="Heading4"/>
        <w:jc w:val="both"/>
      </w:pPr>
    </w:p>
    <w:p w14:paraId="60E9DA2F" w14:textId="77777777" w:rsidR="00B86440" w:rsidRDefault="00B86440" w:rsidP="00416EA3">
      <w:pPr>
        <w:pStyle w:val="Heading4"/>
        <w:jc w:val="both"/>
      </w:pPr>
      <w:r>
        <w:t xml:space="preserve">Apologies </w:t>
      </w:r>
    </w:p>
    <w:p w14:paraId="06641AD0" w14:textId="77777777" w:rsidR="00B86440" w:rsidRDefault="00B86440" w:rsidP="00416EA3">
      <w:pPr>
        <w:pStyle w:val="Heading4"/>
        <w:jc w:val="both"/>
        <w:rPr>
          <w:b w:val="0"/>
        </w:rPr>
      </w:pPr>
      <w:r>
        <w:rPr>
          <w:b w:val="0"/>
        </w:rPr>
        <w:t xml:space="preserve">Jo Charles </w:t>
      </w:r>
    </w:p>
    <w:p w14:paraId="496559F4" w14:textId="77777777" w:rsidR="00B86440" w:rsidRDefault="00B86440" w:rsidP="00416EA3">
      <w:pPr>
        <w:pStyle w:val="Heading4"/>
        <w:jc w:val="both"/>
        <w:rPr>
          <w:b w:val="0"/>
        </w:rPr>
      </w:pPr>
      <w:r>
        <w:rPr>
          <w:b w:val="0"/>
        </w:rPr>
        <w:t xml:space="preserve">Dan Ile </w:t>
      </w:r>
    </w:p>
    <w:p w14:paraId="5038CEEA" w14:textId="77777777" w:rsidR="00B86440" w:rsidRDefault="00B86440" w:rsidP="00416EA3">
      <w:pPr>
        <w:pStyle w:val="Heading4"/>
        <w:jc w:val="both"/>
        <w:rPr>
          <w:b w:val="0"/>
        </w:rPr>
      </w:pPr>
      <w:r>
        <w:rPr>
          <w:b w:val="0"/>
        </w:rPr>
        <w:t xml:space="preserve">Oliver Walton </w:t>
      </w:r>
    </w:p>
    <w:p w14:paraId="2E66C8B7" w14:textId="77777777" w:rsidR="00B86440" w:rsidRDefault="00B86440" w:rsidP="00416EA3">
      <w:pPr>
        <w:pStyle w:val="Heading4"/>
        <w:jc w:val="both"/>
        <w:rPr>
          <w:b w:val="0"/>
        </w:rPr>
      </w:pPr>
      <w:r>
        <w:rPr>
          <w:b w:val="0"/>
        </w:rPr>
        <w:t xml:space="preserve">Rachel Acres </w:t>
      </w:r>
    </w:p>
    <w:p w14:paraId="382EE8ED" w14:textId="77777777" w:rsidR="00B86440" w:rsidRDefault="00B86440" w:rsidP="00416EA3">
      <w:pPr>
        <w:pStyle w:val="Heading4"/>
        <w:jc w:val="both"/>
        <w:rPr>
          <w:b w:val="0"/>
        </w:rPr>
      </w:pPr>
      <w:r>
        <w:rPr>
          <w:b w:val="0"/>
        </w:rPr>
        <w:t xml:space="preserve">Aurelie Charles </w:t>
      </w:r>
    </w:p>
    <w:p w14:paraId="7AAA9AC5" w14:textId="77777777" w:rsidR="00B86440" w:rsidRDefault="00B86440" w:rsidP="00416EA3">
      <w:pPr>
        <w:pStyle w:val="Heading4"/>
        <w:jc w:val="both"/>
        <w:rPr>
          <w:b w:val="0"/>
        </w:rPr>
      </w:pPr>
      <w:r>
        <w:rPr>
          <w:b w:val="0"/>
        </w:rPr>
        <w:t xml:space="preserve">Ella Gibbs </w:t>
      </w:r>
    </w:p>
    <w:p w14:paraId="7E006D20" w14:textId="77777777" w:rsidR="00B86440" w:rsidRDefault="00B86440" w:rsidP="00416EA3">
      <w:pPr>
        <w:pStyle w:val="Heading4"/>
        <w:jc w:val="both"/>
        <w:rPr>
          <w:b w:val="0"/>
        </w:rPr>
      </w:pPr>
      <w:r>
        <w:rPr>
          <w:b w:val="0"/>
        </w:rPr>
        <w:t xml:space="preserve">Nikolaos </w:t>
      </w:r>
      <w:proofErr w:type="spellStart"/>
      <w:r>
        <w:rPr>
          <w:b w:val="0"/>
        </w:rPr>
        <w:t>Sakkas</w:t>
      </w:r>
      <w:proofErr w:type="spellEnd"/>
      <w:r>
        <w:rPr>
          <w:b w:val="0"/>
        </w:rPr>
        <w:t xml:space="preserve"> </w:t>
      </w:r>
    </w:p>
    <w:p w14:paraId="716764AD" w14:textId="77777777" w:rsidR="00B86440" w:rsidRDefault="00B86440" w:rsidP="00416EA3">
      <w:pPr>
        <w:pStyle w:val="Heading4"/>
        <w:jc w:val="both"/>
        <w:rPr>
          <w:b w:val="0"/>
        </w:rPr>
      </w:pPr>
      <w:r>
        <w:rPr>
          <w:b w:val="0"/>
        </w:rPr>
        <w:t xml:space="preserve">Emma Scrase </w:t>
      </w:r>
    </w:p>
    <w:p w14:paraId="268E2B06" w14:textId="77777777" w:rsidR="00B86440" w:rsidRPr="006F2B7E" w:rsidRDefault="00B86440" w:rsidP="00416EA3">
      <w:pPr>
        <w:pStyle w:val="BodyText"/>
        <w:spacing w:before="80" w:after="80"/>
        <w:jc w:val="both"/>
      </w:pPr>
      <w:r>
        <w:t xml:space="preserve">Helen </w:t>
      </w:r>
      <w:proofErr w:type="spellStart"/>
      <w:r>
        <w:t>Lofkin</w:t>
      </w:r>
      <w:proofErr w:type="spellEnd"/>
    </w:p>
    <w:p w14:paraId="3715477E" w14:textId="77777777" w:rsidR="00B86440" w:rsidRPr="006F2B7E" w:rsidRDefault="00B86440" w:rsidP="00416EA3">
      <w:pPr>
        <w:pStyle w:val="BodyText"/>
        <w:spacing w:before="80" w:after="80"/>
        <w:jc w:val="both"/>
      </w:pPr>
      <w:r w:rsidRPr="006F2B7E">
        <w:t>Chris Goff</w:t>
      </w:r>
    </w:p>
    <w:p w14:paraId="7D7C6B53" w14:textId="77777777" w:rsidR="00B70EE1" w:rsidRDefault="00B70EE1" w:rsidP="00416EA3">
      <w:pPr>
        <w:pStyle w:val="BodyText"/>
        <w:jc w:val="both"/>
      </w:pPr>
    </w:p>
    <w:p w14:paraId="292E4491" w14:textId="77777777" w:rsidR="00B70EE1" w:rsidRDefault="00416EA3" w:rsidP="00416EA3">
      <w:pPr>
        <w:pStyle w:val="Heading2"/>
        <w:jc w:val="both"/>
      </w:pPr>
      <w:r>
        <w:t>930.0 Agenda and Notice of Meeting</w:t>
      </w:r>
    </w:p>
    <w:p w14:paraId="501359F0" w14:textId="77777777" w:rsidR="00B70EE1" w:rsidRDefault="00B70EE1" w:rsidP="00416EA3">
      <w:pPr>
        <w:pStyle w:val="HorizontalLine"/>
        <w:jc w:val="both"/>
      </w:pPr>
    </w:p>
    <w:p w14:paraId="116E2D39" w14:textId="77777777" w:rsidR="00B70EE1" w:rsidRDefault="00B70EE1" w:rsidP="00416EA3">
      <w:pPr>
        <w:pStyle w:val="BodyText"/>
        <w:jc w:val="both"/>
      </w:pPr>
    </w:p>
    <w:p w14:paraId="4AC99FCD" w14:textId="77777777" w:rsidR="00B70EE1" w:rsidRDefault="00416EA3" w:rsidP="00416EA3">
      <w:pPr>
        <w:pStyle w:val="Heading2"/>
        <w:jc w:val="both"/>
      </w:pPr>
      <w:r>
        <w:t>931.0 Welcome</w:t>
      </w:r>
    </w:p>
    <w:p w14:paraId="236C8534" w14:textId="77777777" w:rsidR="00B70EE1" w:rsidRDefault="00B70EE1" w:rsidP="00416EA3">
      <w:pPr>
        <w:pStyle w:val="HorizontalLine"/>
        <w:jc w:val="both"/>
      </w:pPr>
    </w:p>
    <w:p w14:paraId="5BE57DC1" w14:textId="4AEB3A9F" w:rsidR="00B70EE1" w:rsidRDefault="00416EA3" w:rsidP="00416EA3">
      <w:pPr>
        <w:pStyle w:val="BodyText"/>
        <w:jc w:val="both"/>
      </w:pPr>
      <w:r>
        <w:t>The Chair welcomed members to the meeting and noted apologies.</w:t>
      </w:r>
    </w:p>
    <w:p w14:paraId="4074BBBC" w14:textId="3D34B6FC" w:rsidR="00B70EE1" w:rsidRDefault="00416EA3" w:rsidP="00416EA3">
      <w:pPr>
        <w:pStyle w:val="BodyText"/>
        <w:jc w:val="both"/>
      </w:pPr>
      <w:r>
        <w:t>Apologies from Oliver Walton - Jason Hart did on behalf </w:t>
      </w:r>
    </w:p>
    <w:p w14:paraId="41F81D5D" w14:textId="77777777" w:rsidR="00B86440" w:rsidRDefault="00B86440" w:rsidP="00416EA3">
      <w:pPr>
        <w:pStyle w:val="BodyText"/>
        <w:jc w:val="both"/>
      </w:pPr>
    </w:p>
    <w:p w14:paraId="5952E94C" w14:textId="77777777" w:rsidR="00B70EE1" w:rsidRDefault="00416EA3" w:rsidP="00416EA3">
      <w:pPr>
        <w:pStyle w:val="Heading2"/>
        <w:jc w:val="both"/>
      </w:pPr>
      <w:r>
        <w:t>932.0 Declarations of Interest</w:t>
      </w:r>
    </w:p>
    <w:p w14:paraId="3B9981A1" w14:textId="77777777" w:rsidR="00B70EE1" w:rsidRDefault="00B70EE1" w:rsidP="00416EA3">
      <w:pPr>
        <w:pStyle w:val="HorizontalLine"/>
        <w:jc w:val="both"/>
      </w:pPr>
    </w:p>
    <w:p w14:paraId="1E712039" w14:textId="77777777" w:rsidR="00B70EE1" w:rsidRDefault="00416EA3" w:rsidP="00416EA3">
      <w:pPr>
        <w:pStyle w:val="BodyText"/>
        <w:jc w:val="both"/>
      </w:pPr>
      <w:r>
        <w:t>No member declared any conflict of interest.</w:t>
      </w:r>
    </w:p>
    <w:p w14:paraId="68A7723F" w14:textId="77777777" w:rsidR="00B70EE1" w:rsidRDefault="00B70EE1" w:rsidP="00416EA3">
      <w:pPr>
        <w:pStyle w:val="BodyText"/>
        <w:jc w:val="both"/>
      </w:pPr>
    </w:p>
    <w:p w14:paraId="7AD6CFD9" w14:textId="77777777" w:rsidR="00B70EE1" w:rsidRDefault="00416EA3" w:rsidP="00416EA3">
      <w:pPr>
        <w:pStyle w:val="Heading2"/>
        <w:jc w:val="both"/>
      </w:pPr>
      <w:r>
        <w:t>933.0 Minutes of the Previous Meeting</w:t>
      </w:r>
    </w:p>
    <w:p w14:paraId="342D8156" w14:textId="77777777" w:rsidR="00B70EE1" w:rsidRDefault="00B70EE1" w:rsidP="00416EA3">
      <w:pPr>
        <w:pStyle w:val="HorizontalLine"/>
        <w:jc w:val="both"/>
      </w:pPr>
    </w:p>
    <w:p w14:paraId="3F4EB538" w14:textId="77777777" w:rsidR="00B70EE1" w:rsidRDefault="00416EA3" w:rsidP="00416EA3">
      <w:pPr>
        <w:pStyle w:val="BodyText"/>
        <w:jc w:val="both"/>
      </w:pPr>
      <w:r>
        <w:t>The committee approved the minutes of the meeting held on 09 October 2024</w:t>
      </w:r>
    </w:p>
    <w:p w14:paraId="7597724B" w14:textId="77777777" w:rsidR="00B70EE1" w:rsidRDefault="00B70EE1" w:rsidP="00416EA3">
      <w:pPr>
        <w:pStyle w:val="BodyText"/>
        <w:jc w:val="both"/>
      </w:pPr>
    </w:p>
    <w:p w14:paraId="4E08A068" w14:textId="77777777" w:rsidR="00B70EE1" w:rsidRDefault="00416EA3" w:rsidP="00416EA3">
      <w:pPr>
        <w:pStyle w:val="Heading2"/>
        <w:jc w:val="both"/>
      </w:pPr>
      <w:r>
        <w:t>934.0 Actions and Matters Arising</w:t>
      </w:r>
    </w:p>
    <w:p w14:paraId="2E34EB51" w14:textId="77777777" w:rsidR="00B70EE1" w:rsidRDefault="00B70EE1" w:rsidP="00416EA3">
      <w:pPr>
        <w:pStyle w:val="HorizontalLine"/>
        <w:jc w:val="both"/>
      </w:pPr>
    </w:p>
    <w:p w14:paraId="54E1841A" w14:textId="77777777" w:rsidR="00B70EE1" w:rsidRDefault="00416EA3" w:rsidP="00416EA3">
      <w:pPr>
        <w:pStyle w:val="BodyText"/>
        <w:jc w:val="both"/>
      </w:pPr>
      <w:r>
        <w:t>It was noted that the Action Log was shared with all members.</w:t>
      </w:r>
    </w:p>
    <w:p w14:paraId="6A95B4A1" w14:textId="77777777" w:rsidR="00B70EE1" w:rsidRDefault="00B70EE1" w:rsidP="00416EA3">
      <w:pPr>
        <w:pStyle w:val="BodyText"/>
        <w:jc w:val="both"/>
      </w:pPr>
    </w:p>
    <w:p w14:paraId="4BB367AD" w14:textId="668B424A" w:rsidR="00B70EE1" w:rsidRDefault="00416EA3" w:rsidP="00416EA3">
      <w:pPr>
        <w:pStyle w:val="BodyText"/>
        <w:jc w:val="both"/>
      </w:pPr>
      <w:r>
        <w:rPr>
          <w:b/>
        </w:rPr>
        <w:lastRenderedPageBreak/>
        <w:t>Request confirmation on units taking part in trial</w:t>
      </w:r>
      <w:r>
        <w:t xml:space="preserve"> - Noted that the trial was postponed due to lack of resources. </w:t>
      </w:r>
    </w:p>
    <w:p w14:paraId="7570FFA4" w14:textId="077AF1FE" w:rsidR="00B70EE1" w:rsidRDefault="00416EA3" w:rsidP="00416EA3">
      <w:pPr>
        <w:pStyle w:val="BodyText"/>
        <w:jc w:val="both"/>
      </w:pPr>
      <w:r>
        <w:rPr>
          <w:b/>
        </w:rPr>
        <w:t>Education Priorities -</w:t>
      </w:r>
      <w:r>
        <w:t xml:space="preserve"> Noted that the members have completed their EAP forms, which are live documents and will be reviewed at DLTQC, FLTQC and throughout the academic year. Quality Support Administrator has drafted a model EAP and will circulate this to all DoTs. This draft model is intended as a point of consideration. At the academic year we will review and discuss the EAP and how to improve the process and recording of actions/information.</w:t>
      </w:r>
    </w:p>
    <w:p w14:paraId="6DBE327D" w14:textId="12A26056" w:rsidR="00B70EE1" w:rsidRDefault="00416EA3" w:rsidP="00416EA3">
      <w:pPr>
        <w:pStyle w:val="BodyText"/>
        <w:jc w:val="both"/>
      </w:pPr>
      <w:r>
        <w:rPr>
          <w:b/>
        </w:rPr>
        <w:t>EAP and CT PGT Exit Awards -</w:t>
      </w:r>
      <w:r>
        <w:t xml:space="preserve"> The committee noted that the invites have been sent and this meeting focusing on generic and named exit awards for new PGT courses and ensuring course specifications are accurate and updated in time for students completing their courses next summer.</w:t>
      </w:r>
    </w:p>
    <w:p w14:paraId="0C148796" w14:textId="7A568C85" w:rsidR="00B70EE1" w:rsidRDefault="00416EA3" w:rsidP="00416EA3">
      <w:pPr>
        <w:pStyle w:val="BodyText"/>
        <w:jc w:val="both"/>
      </w:pPr>
      <w:r>
        <w:rPr>
          <w:b/>
        </w:rPr>
        <w:t>AOB</w:t>
      </w:r>
      <w:r>
        <w:t> - </w:t>
      </w:r>
      <w:r>
        <w:rPr>
          <w:b/>
        </w:rPr>
        <w:t>Midterm feedback</w:t>
      </w:r>
      <w:r>
        <w:t> </w:t>
      </w:r>
      <w:commentRangeStart w:id="0"/>
      <w:r>
        <w:t>- The Education Manager confirmed that midterm feedback will not take place in Semester 1 this year and has been deferred to Semester 1 next year. For Semester 2 this year, students will participate in the course-level survey.</w:t>
      </w:r>
      <w:commentRangeEnd w:id="0"/>
      <w:r w:rsidR="00D87AAB">
        <w:rPr>
          <w:rStyle w:val="CommentReference"/>
          <w:rFonts w:cs="Mangal"/>
        </w:rPr>
        <w:commentReference w:id="0"/>
      </w:r>
    </w:p>
    <w:p w14:paraId="0F2673F8" w14:textId="6559BCE1" w:rsidR="00B70EE1" w:rsidRDefault="00416EA3" w:rsidP="00416EA3">
      <w:pPr>
        <w:pStyle w:val="BodyText"/>
        <w:jc w:val="both"/>
      </w:pPr>
      <w:r>
        <w:rPr>
          <w:b/>
        </w:rPr>
        <w:t xml:space="preserve">SSLC Templates and Comms </w:t>
      </w:r>
      <w:proofErr w:type="gramStart"/>
      <w:r>
        <w:rPr>
          <w:b/>
        </w:rPr>
        <w:t>- </w:t>
      </w:r>
      <w:r>
        <w:t> It</w:t>
      </w:r>
      <w:proofErr w:type="gramEnd"/>
      <w:r>
        <w:t xml:space="preserve"> was confirmed that all DoTs are now using the Student Union templates for the agenda, minutes, and action tracker in SSLC meetings.</w:t>
      </w:r>
    </w:p>
    <w:p w14:paraId="513BA0E6" w14:textId="77777777" w:rsidR="00B70EE1" w:rsidRDefault="00B70EE1" w:rsidP="00416EA3">
      <w:pPr>
        <w:pStyle w:val="BodyText"/>
        <w:jc w:val="both"/>
      </w:pPr>
    </w:p>
    <w:p w14:paraId="77986D0B" w14:textId="77777777" w:rsidR="00B70EE1" w:rsidRDefault="00416EA3" w:rsidP="00416EA3">
      <w:pPr>
        <w:pStyle w:val="Heading2"/>
        <w:jc w:val="both"/>
      </w:pPr>
      <w:r>
        <w:t>935.0 Chair's Business</w:t>
      </w:r>
    </w:p>
    <w:p w14:paraId="5FA42884" w14:textId="77777777" w:rsidR="00B70EE1" w:rsidRDefault="00B70EE1" w:rsidP="00416EA3">
      <w:pPr>
        <w:pStyle w:val="HorizontalLine"/>
        <w:jc w:val="both"/>
      </w:pPr>
    </w:p>
    <w:p w14:paraId="389DA227" w14:textId="3EAFF99A" w:rsidR="00B70EE1" w:rsidRPr="00B86440" w:rsidRDefault="00416EA3" w:rsidP="00416EA3">
      <w:pPr>
        <w:pStyle w:val="BodyText"/>
        <w:jc w:val="both"/>
        <w:rPr>
          <w:b/>
        </w:rPr>
      </w:pPr>
      <w:r>
        <w:rPr>
          <w:b/>
        </w:rPr>
        <w:t>1. Grade Transfer/Marking on Moodle</w:t>
      </w:r>
    </w:p>
    <w:p w14:paraId="66A83CAB" w14:textId="00075813" w:rsidR="00B70EE1" w:rsidRDefault="00416EA3" w:rsidP="00416EA3">
      <w:pPr>
        <w:pStyle w:val="BodyText"/>
        <w:jc w:val="both"/>
      </w:pPr>
      <w:r>
        <w:t xml:space="preserve">It was noted that Faculty policy remains that departments should use Grade Transfer where possible. To support staff, drop-in sessions and workshops within the faculty are being </w:t>
      </w:r>
      <w:proofErr w:type="spellStart"/>
      <w:r>
        <w:t>organised</w:t>
      </w:r>
      <w:proofErr w:type="spellEnd"/>
      <w:r>
        <w:t xml:space="preserve"> in the weeks of the 20th of January and the 27th of January to support how and when to carry out grade transfers. Additionally, there are some upcoming webinars that were already scheduled in the university. </w:t>
      </w:r>
    </w:p>
    <w:p w14:paraId="432281E8" w14:textId="34CA7D30" w:rsidR="00B70EE1" w:rsidRDefault="00416EA3" w:rsidP="00416EA3">
      <w:pPr>
        <w:pStyle w:val="BodyText"/>
        <w:jc w:val="both"/>
      </w:pPr>
      <w:r>
        <w:t xml:space="preserve">The </w:t>
      </w:r>
      <w:proofErr w:type="spellStart"/>
      <w:r>
        <w:t>Programmes</w:t>
      </w:r>
      <w:proofErr w:type="spellEnd"/>
      <w:r>
        <w:t xml:space="preserve"> Manager shared that an exemption sheet for units incompatible with grade transfer is available in the FLTQC team space under the "24/25" channel. A reminder email will be sent to DoTs on 28 November 2024, outlining the purpose of the sheet and where to access it. DoTs are requested to review and update any missing information regarding exemptions. </w:t>
      </w:r>
    </w:p>
    <w:p w14:paraId="7AE9C8A5" w14:textId="57315B53" w:rsidR="00B70EE1" w:rsidRDefault="00416EA3" w:rsidP="00416EA3">
      <w:pPr>
        <w:pStyle w:val="BodyText"/>
        <w:jc w:val="both"/>
      </w:pPr>
      <w:r>
        <w:t xml:space="preserve">DoTs are also advised to revisit their department's assessment, marking, and moderation guidance documents, as the grade transfer tool has been updated this year. </w:t>
      </w:r>
    </w:p>
    <w:p w14:paraId="650046F2" w14:textId="1B89722B" w:rsidR="00B70EE1" w:rsidRDefault="00416EA3" w:rsidP="00416EA3">
      <w:pPr>
        <w:pStyle w:val="BodyText"/>
        <w:jc w:val="both"/>
      </w:pPr>
      <w:r>
        <w:t>TEL said as these policies are likely to be different in each dept, they won't offer a generic session to you but instead suggested you make contact directly with tel@bath.ac.uk if further support is needed.</w:t>
      </w:r>
    </w:p>
    <w:p w14:paraId="0470178B" w14:textId="02EDAE7F" w:rsidR="00B70EE1" w:rsidRDefault="00416EA3" w:rsidP="00416EA3">
      <w:pPr>
        <w:pStyle w:val="BodyText"/>
        <w:jc w:val="both"/>
      </w:pPr>
      <w:r>
        <w:t>The Taught Programs team will now handle grade transfer setup when creating coursework uploads in Moodle. UCs no longer need to do this step.</w:t>
      </w:r>
    </w:p>
    <w:p w14:paraId="5B43E4EB" w14:textId="77777777" w:rsidR="00B70EE1" w:rsidRDefault="00416EA3" w:rsidP="00416EA3">
      <w:pPr>
        <w:pStyle w:val="BodyText"/>
        <w:jc w:val="both"/>
      </w:pPr>
      <w:r>
        <w:t>UCs, or those with Teacher Plus access, remain responsible for initiating the grade transfer once marking and moderation are complete, and grades are ready for submission. Moodle's upgrade now allows multiple UCs to be recorded in SAMIS.</w:t>
      </w:r>
    </w:p>
    <w:p w14:paraId="56B1F8C4" w14:textId="77777777" w:rsidR="00B70EE1" w:rsidRDefault="00B70EE1" w:rsidP="00416EA3">
      <w:pPr>
        <w:pStyle w:val="BodyText"/>
        <w:jc w:val="both"/>
      </w:pPr>
    </w:p>
    <w:p w14:paraId="5308AA93" w14:textId="734BED90" w:rsidR="00B70EE1" w:rsidRPr="00B86440" w:rsidRDefault="00416EA3" w:rsidP="00416EA3">
      <w:pPr>
        <w:pStyle w:val="BodyText"/>
        <w:jc w:val="both"/>
        <w:rPr>
          <w:b/>
        </w:rPr>
      </w:pPr>
      <w:r>
        <w:rPr>
          <w:b/>
        </w:rPr>
        <w:lastRenderedPageBreak/>
        <w:t>2. Dissertation Units</w:t>
      </w:r>
    </w:p>
    <w:p w14:paraId="15570695" w14:textId="42E5ACB1" w:rsidR="00B70EE1" w:rsidRDefault="00416EA3" w:rsidP="00416EA3">
      <w:pPr>
        <w:pStyle w:val="BodyText"/>
        <w:jc w:val="both"/>
      </w:pPr>
      <w:r>
        <w:t>It was noted that a review of dissertation supervision and timetabling is being conducted to improve consistency in supervision, particularly for large groups managed by a single supervisor, and to enhance the student experience by ensuring adequate support for dissertation supervision across the faculty.</w:t>
      </w:r>
    </w:p>
    <w:p w14:paraId="243EF1C4" w14:textId="001EEB21" w:rsidR="00B70EE1" w:rsidRDefault="00416EA3" w:rsidP="00416EA3">
      <w:pPr>
        <w:pStyle w:val="BodyText"/>
        <w:jc w:val="both"/>
      </w:pPr>
      <w:r>
        <w:t>During discussion the following topics were raised:</w:t>
      </w:r>
    </w:p>
    <w:p w14:paraId="79FCC81F" w14:textId="3D2F08E3" w:rsidR="00B70EE1" w:rsidRDefault="00416EA3" w:rsidP="00416EA3">
      <w:pPr>
        <w:pStyle w:val="BodyText"/>
        <w:jc w:val="both"/>
      </w:pPr>
      <w:r>
        <w:t xml:space="preserve">• The Director of Teaching in the Department of Health shared that in Health, some undergraduate programs include timetabled sessions for supervisors to provide consistent support. However, it remains unclear whether this approach is applied across all courses in Health? It was also considered whether there is varying student experience of supervision between students who work on group projects and those who undertake individual projects on dissertation units. </w:t>
      </w:r>
    </w:p>
    <w:p w14:paraId="2E51BE1D" w14:textId="5074B346" w:rsidR="00B70EE1" w:rsidRDefault="00416EA3" w:rsidP="00416EA3">
      <w:pPr>
        <w:pStyle w:val="BodyText"/>
        <w:jc w:val="both"/>
      </w:pPr>
      <w:r>
        <w:t xml:space="preserve">• How students engage with the Uni of Bath Ethics online process, including whether they are guided through it or expected to navigate it independently. It was also noted that supervisors' experiences with the Ethics including time commitments and workload implications, were identified as key areas for further discussion. The Director of Teaching in the Department of PoLIS raised a question whether departments in the </w:t>
      </w:r>
      <w:proofErr w:type="gramStart"/>
      <w:r>
        <w:t>Faculty</w:t>
      </w:r>
      <w:proofErr w:type="gramEnd"/>
      <w:r>
        <w:t xml:space="preserve"> assign dissertation topics for students to choose from or allow students to select their own topics freely. It was suggested that a more directed approach, where supervisors guide topic selection from the outset, might be beneficial and could be considered for implementation. The Director of Teaching in the Department of Education mentioned differences in supervision practices between distance learning programs and in-person programs. It was noted that feedback for a full draft of the dissertation was previously provided for distance learning students, potentially as compensation for the online format. This practice has changed since the adoption of Teams, which has facilitated closer relationships between supervisors and students. It was suggested that guidance on best practices for online versus in-person supervision would be beneficial for ensuring consistency and support.</w:t>
      </w:r>
    </w:p>
    <w:p w14:paraId="75BF1D9D" w14:textId="280E5F3F" w:rsidR="00B70EE1" w:rsidRDefault="00416EA3" w:rsidP="00416EA3">
      <w:pPr>
        <w:pStyle w:val="BodyText"/>
        <w:jc w:val="both"/>
      </w:pPr>
      <w:r>
        <w:t>• More broadly differences in marking practices. It was noted that some programs mark specific sections of the dissertation, while others adopt a more holistic approach to marking. During this discussion it was raised whether it is appropriate for the same individual to act as the supervisor, personal tutor, and examiner. It was noted that in some departments, efforts are made to ensure these roles are assigned to different people to avoid potential conflicts of interest. Additionally, how marking responsibilities are distributed between the first and second markers. And how departments address disagreements between markers, particularly when grades fall near boundary thresholds (QA16). In addition, there was a question whether tables and qualitative data were included in the word count in other departments?</w:t>
      </w:r>
    </w:p>
    <w:p w14:paraId="12D2FACA" w14:textId="4A68AD0F" w:rsidR="00B70EE1" w:rsidRPr="00B86440" w:rsidRDefault="00416EA3" w:rsidP="00416EA3">
      <w:pPr>
        <w:pStyle w:val="BodyText"/>
        <w:jc w:val="both"/>
        <w:rPr>
          <w:b/>
        </w:rPr>
      </w:pPr>
      <w:r>
        <w:rPr>
          <w:b/>
        </w:rPr>
        <w:t>3. TDFs</w:t>
      </w:r>
    </w:p>
    <w:p w14:paraId="6A6D901E" w14:textId="2CC3E2A1" w:rsidR="00B70EE1" w:rsidRDefault="00416EA3" w:rsidP="00416EA3">
      <w:pPr>
        <w:pStyle w:val="BodyText"/>
        <w:jc w:val="both"/>
      </w:pPr>
      <w:r>
        <w:t>It was noted that seven applications were received for the TDF, and four were awarded funding, including Psychology, Health, Economics, and Education departments. A second round of TDF applications will take place in January, focusing on projects aligning with the Faculty's Education Strategy.</w:t>
      </w:r>
    </w:p>
    <w:p w14:paraId="6B291ACC" w14:textId="71DA0D95" w:rsidR="00B70EE1" w:rsidRPr="00B86440" w:rsidRDefault="00416EA3" w:rsidP="00416EA3">
      <w:pPr>
        <w:pStyle w:val="BodyText"/>
        <w:jc w:val="both"/>
        <w:rPr>
          <w:b/>
        </w:rPr>
      </w:pPr>
      <w:r>
        <w:rPr>
          <w:b/>
        </w:rPr>
        <w:t xml:space="preserve">4. Fees </w:t>
      </w:r>
      <w:proofErr w:type="gramStart"/>
      <w:r>
        <w:rPr>
          <w:b/>
        </w:rPr>
        <w:t>increased</w:t>
      </w:r>
      <w:proofErr w:type="gramEnd"/>
      <w:r>
        <w:rPr>
          <w:b/>
        </w:rPr>
        <w:t xml:space="preserve"> and NI increased, which results in a shortfall of 1 million</w:t>
      </w:r>
    </w:p>
    <w:p w14:paraId="22F5FE65" w14:textId="77777777" w:rsidR="00B70EE1" w:rsidRDefault="00416EA3" w:rsidP="00416EA3">
      <w:pPr>
        <w:pStyle w:val="BodyText"/>
        <w:jc w:val="both"/>
      </w:pPr>
      <w:r>
        <w:t>It was noted that undergraduate student fees were increased by £225 per year. However, the National Insurance contribution for the university also increased and the increase in the University's NI contribution is larger than the financial benefits from the increase in students' fees. Additionally, the Office for Students (</w:t>
      </w:r>
      <w:proofErr w:type="spellStart"/>
      <w:r>
        <w:t>OfS</w:t>
      </w:r>
      <w:proofErr w:type="spellEnd"/>
      <w:r>
        <w:t>) has attached several conditions to the fee increase, expecting universities to deliver more value for the higher fees.</w:t>
      </w:r>
    </w:p>
    <w:p w14:paraId="522D2CF3" w14:textId="77777777" w:rsidR="00B70EE1" w:rsidRDefault="00B70EE1" w:rsidP="00416EA3">
      <w:pPr>
        <w:pStyle w:val="BodyText"/>
        <w:jc w:val="both"/>
      </w:pPr>
    </w:p>
    <w:p w14:paraId="01BD1126" w14:textId="5547F7D3" w:rsidR="00B70EE1" w:rsidRDefault="00416EA3" w:rsidP="00416EA3">
      <w:pPr>
        <w:pStyle w:val="BodyText"/>
        <w:jc w:val="both"/>
      </w:pPr>
      <w:r>
        <w:lastRenderedPageBreak/>
        <w:t xml:space="preserve">Members considered the potential of hybrid delivery, particularly at the postgraduate level. It was suggested that such programs could attract larger student groups and increase revenue without placing additional strain on the already limited infrastructure and accommodation resources. It was noted that MA Education is applying blended learning. </w:t>
      </w:r>
    </w:p>
    <w:p w14:paraId="4D1A0D76" w14:textId="44FB4CAB" w:rsidR="00B70EE1" w:rsidRPr="00B86440" w:rsidRDefault="00416EA3" w:rsidP="00416EA3">
      <w:pPr>
        <w:pStyle w:val="BodyText"/>
        <w:jc w:val="both"/>
        <w:rPr>
          <w:b/>
        </w:rPr>
      </w:pPr>
      <w:r>
        <w:rPr>
          <w:b/>
        </w:rPr>
        <w:t>5. Degree Outcome Gaps</w:t>
      </w:r>
    </w:p>
    <w:p w14:paraId="750F5356" w14:textId="77B90EFD" w:rsidR="00B70EE1" w:rsidRDefault="00416EA3" w:rsidP="00416EA3">
      <w:pPr>
        <w:pStyle w:val="BodyText"/>
        <w:jc w:val="both"/>
      </w:pPr>
      <w:r>
        <w:t xml:space="preserve">The Chair advised that addressing degree outcomes, particularly for WP students, is a key area of focus moving forward and degree outcomes for students from diverse and widening participation backgrounds are being closely monitored. The committee noted that contextual offers are being reduced. The EARE will provide data to </w:t>
      </w:r>
      <w:proofErr w:type="spellStart"/>
      <w:r>
        <w:t>analyse</w:t>
      </w:r>
      <w:proofErr w:type="spellEnd"/>
      <w:r>
        <w:t xml:space="preserve"> the impact of diverse student demographics on degree outcomes. It was noted that some departments have a higher proportion of students from diverse backgrounds, which may influence these outcomes. King's College's TASO group was mentioned as an example of an initiative addressing degree outcome award gaps. Additionally, onboarding strategies, degree outcome gap analysis, and engagement/outreach activities are being developed across the University of Bath to improve support and outcomes for all students.</w:t>
      </w:r>
    </w:p>
    <w:p w14:paraId="71EE0481" w14:textId="1180FC12" w:rsidR="00B70EE1" w:rsidRPr="00B86440" w:rsidRDefault="00416EA3" w:rsidP="00416EA3">
      <w:pPr>
        <w:pStyle w:val="BodyText"/>
        <w:jc w:val="both"/>
        <w:rPr>
          <w:b/>
        </w:rPr>
      </w:pPr>
      <w:r>
        <w:rPr>
          <w:b/>
        </w:rPr>
        <w:t>6. Equality Task &amp; Finish Group - Key findings from the T&amp;F group. Work streams will be set up early 2025:</w:t>
      </w:r>
    </w:p>
    <w:p w14:paraId="673F312A" w14:textId="1C52F145" w:rsidR="00B70EE1" w:rsidRDefault="00416EA3" w:rsidP="00416EA3">
      <w:pPr>
        <w:pStyle w:val="BodyText"/>
        <w:jc w:val="both"/>
      </w:pPr>
      <w:r>
        <w:t xml:space="preserve">The committee noted that the Task and Finish Group has not yet concluded its work and will hold another meeting in January to further develop four or five workstreams. These will focus on the Education Equality Act, IMCs (Individual Mitigating Circumstances), DAPs (Disability Access Plans), appeals, and other student support issues. </w:t>
      </w:r>
    </w:p>
    <w:p w14:paraId="13556C54" w14:textId="34FE966B" w:rsidR="00B70EE1" w:rsidRDefault="00416EA3" w:rsidP="00416EA3">
      <w:pPr>
        <w:pStyle w:val="BodyText"/>
        <w:jc w:val="both"/>
      </w:pPr>
      <w:r>
        <w:t>The group plans to establish working groups in January and may seek volunteers from across the university to contribute to these workstreams.</w:t>
      </w:r>
    </w:p>
    <w:p w14:paraId="0978D6C2" w14:textId="25DD631C" w:rsidR="00B70EE1" w:rsidRPr="00B86440" w:rsidRDefault="00416EA3" w:rsidP="00416EA3">
      <w:pPr>
        <w:pStyle w:val="BodyText"/>
        <w:jc w:val="both"/>
        <w:rPr>
          <w:b/>
        </w:rPr>
      </w:pPr>
      <w:r>
        <w:rPr>
          <w:b/>
        </w:rPr>
        <w:t>7. Three Research Focus Weeks</w:t>
      </w:r>
    </w:p>
    <w:p w14:paraId="7A0195C3" w14:textId="392FF3A7" w:rsidR="00B70EE1" w:rsidRDefault="00416EA3" w:rsidP="00416EA3">
      <w:pPr>
        <w:pStyle w:val="BodyText"/>
        <w:jc w:val="both"/>
      </w:pPr>
      <w:r>
        <w:t>The committee noted that the Research Focus Weeks include the second week in September, the revision week in January, and the revision week at the end of May, and recommended avoiding the holding Education-related activities during these periods.</w:t>
      </w:r>
    </w:p>
    <w:p w14:paraId="5CF24292" w14:textId="7FA31645" w:rsidR="00B70EE1" w:rsidRPr="00B86440" w:rsidRDefault="00416EA3" w:rsidP="00416EA3">
      <w:pPr>
        <w:pStyle w:val="BodyText"/>
        <w:jc w:val="both"/>
        <w:rPr>
          <w:b/>
        </w:rPr>
      </w:pPr>
      <w:r>
        <w:rPr>
          <w:b/>
        </w:rPr>
        <w:t xml:space="preserve">8. </w:t>
      </w:r>
      <w:proofErr w:type="spellStart"/>
      <w:r>
        <w:rPr>
          <w:b/>
        </w:rPr>
        <w:t>EduFest</w:t>
      </w:r>
      <w:proofErr w:type="spellEnd"/>
      <w:r>
        <w:rPr>
          <w:b/>
        </w:rPr>
        <w:t xml:space="preserve"> May 2025</w:t>
      </w:r>
    </w:p>
    <w:p w14:paraId="6BF70E85" w14:textId="2E9A55A5" w:rsidR="00B70EE1" w:rsidRDefault="00416EA3" w:rsidP="00416EA3">
      <w:pPr>
        <w:pStyle w:val="BodyText"/>
        <w:jc w:val="both"/>
      </w:pPr>
      <w:r>
        <w:t xml:space="preserve">Members are encouraged to participate in the </w:t>
      </w:r>
      <w:proofErr w:type="spellStart"/>
      <w:r>
        <w:t>EduFest</w:t>
      </w:r>
      <w:proofErr w:type="spellEnd"/>
      <w:r>
        <w:t>, particularly those interested in presenting or speaking at the event.</w:t>
      </w:r>
    </w:p>
    <w:p w14:paraId="7FF4E891" w14:textId="71D46917" w:rsidR="00B70EE1" w:rsidRDefault="00416EA3" w:rsidP="00416EA3">
      <w:pPr>
        <w:pStyle w:val="Heading4"/>
        <w:jc w:val="both"/>
        <w:rPr>
          <w:b w:val="0"/>
        </w:rPr>
      </w:pPr>
      <w:r>
        <w:t>Action</w:t>
      </w:r>
      <w:r>
        <w:rPr>
          <w:b w:val="0"/>
        </w:rPr>
        <w:t xml:space="preserve"> </w:t>
      </w:r>
    </w:p>
    <w:p w14:paraId="718B0460" w14:textId="126CEA95" w:rsidR="00B70EE1" w:rsidRDefault="00416EA3" w:rsidP="00416EA3">
      <w:pPr>
        <w:pStyle w:val="BodyText"/>
        <w:jc w:val="both"/>
      </w:pPr>
      <w:r>
        <w:t xml:space="preserve">Follow up and provide responses to the questions </w:t>
      </w:r>
      <w:r w:rsidR="00087901">
        <w:t xml:space="preserve">for dissertations. </w:t>
      </w:r>
    </w:p>
    <w:p w14:paraId="43D69FE3" w14:textId="7CD08280" w:rsidR="00B70EE1" w:rsidRDefault="00416EA3" w:rsidP="00416EA3">
      <w:pPr>
        <w:pStyle w:val="BodyText"/>
        <w:jc w:val="both"/>
      </w:pPr>
      <w:r>
        <w:t xml:space="preserve">Action Status - Not Started   |   Due by - 29 Jan 2025   |   Assigned to - Ed Mason </w:t>
      </w:r>
    </w:p>
    <w:p w14:paraId="1BC09CBC" w14:textId="77777777" w:rsidR="00B70EE1" w:rsidRDefault="00B70EE1" w:rsidP="00416EA3">
      <w:pPr>
        <w:pStyle w:val="BodyText"/>
        <w:jc w:val="both"/>
      </w:pPr>
    </w:p>
    <w:p w14:paraId="4749A6E6" w14:textId="77777777" w:rsidR="00B70EE1" w:rsidRDefault="00416EA3" w:rsidP="00416EA3">
      <w:pPr>
        <w:pStyle w:val="Heading2"/>
        <w:jc w:val="both"/>
      </w:pPr>
      <w:r>
        <w:t>936.0 Student Business</w:t>
      </w:r>
    </w:p>
    <w:p w14:paraId="311035C2" w14:textId="77777777" w:rsidR="00B70EE1" w:rsidRDefault="00B70EE1" w:rsidP="00416EA3">
      <w:pPr>
        <w:pStyle w:val="HorizontalLine"/>
        <w:jc w:val="both"/>
      </w:pPr>
    </w:p>
    <w:p w14:paraId="35CF80CB" w14:textId="77777777" w:rsidR="00B70EE1" w:rsidRDefault="00416EA3" w:rsidP="00416EA3">
      <w:pPr>
        <w:pStyle w:val="BodyText"/>
        <w:jc w:val="both"/>
      </w:pPr>
      <w:r>
        <w:t>A student raised concerns about overlapping course deadlines, which Directors of Studies are currently addressing.</w:t>
      </w:r>
    </w:p>
    <w:p w14:paraId="748CC954" w14:textId="77777777" w:rsidR="00B70EE1" w:rsidRDefault="00B70EE1" w:rsidP="00416EA3">
      <w:pPr>
        <w:pStyle w:val="BodyText"/>
        <w:jc w:val="both"/>
      </w:pPr>
    </w:p>
    <w:p w14:paraId="43EB089C" w14:textId="28ECA3B1" w:rsidR="00B70EE1" w:rsidRDefault="00416EA3" w:rsidP="00416EA3">
      <w:pPr>
        <w:pStyle w:val="BodyText"/>
        <w:jc w:val="both"/>
      </w:pPr>
      <w:r>
        <w:lastRenderedPageBreak/>
        <w:t xml:space="preserve">The committee suggested reviewing deadlines to </w:t>
      </w:r>
      <w:proofErr w:type="spellStart"/>
      <w:r>
        <w:t>minimise</w:t>
      </w:r>
      <w:proofErr w:type="spellEnd"/>
      <w:r>
        <w:t xml:space="preserve"> overlaps and recommended that students communicate directly with the Director of Studies if any overlaps are identified.</w:t>
      </w:r>
    </w:p>
    <w:p w14:paraId="2AB61A32" w14:textId="77777777" w:rsidR="00B70EE1" w:rsidRDefault="00B70EE1" w:rsidP="00416EA3">
      <w:pPr>
        <w:pStyle w:val="BodyText"/>
        <w:jc w:val="both"/>
      </w:pPr>
    </w:p>
    <w:p w14:paraId="2717BB9E" w14:textId="77777777" w:rsidR="00B70EE1" w:rsidRDefault="00416EA3" w:rsidP="00416EA3">
      <w:pPr>
        <w:pStyle w:val="Heading2"/>
        <w:jc w:val="both"/>
      </w:pPr>
      <w:r>
        <w:t>937.0 Assessment and Feedback Business</w:t>
      </w:r>
    </w:p>
    <w:p w14:paraId="1E9479A7" w14:textId="77777777" w:rsidR="00B70EE1" w:rsidRDefault="00B70EE1" w:rsidP="00416EA3">
      <w:pPr>
        <w:pStyle w:val="HorizontalLine"/>
        <w:jc w:val="both"/>
      </w:pPr>
    </w:p>
    <w:p w14:paraId="47B685E5" w14:textId="19509412" w:rsidR="00B70EE1" w:rsidRPr="00B86440" w:rsidRDefault="00416EA3" w:rsidP="00416EA3">
      <w:pPr>
        <w:pStyle w:val="BodyText"/>
        <w:jc w:val="both"/>
        <w:rPr>
          <w:b/>
        </w:rPr>
      </w:pPr>
      <w:r>
        <w:rPr>
          <w:b/>
        </w:rPr>
        <w:t>1. Reminder</w:t>
      </w:r>
    </w:p>
    <w:p w14:paraId="43FE1CFE" w14:textId="434D370D" w:rsidR="00B70EE1" w:rsidRDefault="00416EA3" w:rsidP="00416EA3">
      <w:pPr>
        <w:pStyle w:val="BodyText"/>
        <w:jc w:val="both"/>
      </w:pPr>
      <w:r>
        <w:t xml:space="preserve">It was noted that A&amp;F is now included as a standing item on all DLTQC agendas starting from December. A&amp;F Leads will provide guidance on discussion points for this agenda item, with a particular focus on UG and PGT assessment and feedback matters. It was suggested to use </w:t>
      </w:r>
      <w:proofErr w:type="spellStart"/>
      <w:r>
        <w:t>FeedbackFruits</w:t>
      </w:r>
      <w:proofErr w:type="spellEnd"/>
      <w:r>
        <w:t xml:space="preserve"> and ensure compliance with QA16 for formative and summative assessments.</w:t>
      </w:r>
    </w:p>
    <w:p w14:paraId="6E36D44A" w14:textId="0445D6A0" w:rsidR="00B70EE1" w:rsidRDefault="00416EA3" w:rsidP="00416EA3">
      <w:pPr>
        <w:pStyle w:val="BodyText"/>
        <w:jc w:val="both"/>
      </w:pPr>
      <w:r>
        <w:t xml:space="preserve">The Education Manager suggested that colleagues already familiar with </w:t>
      </w:r>
      <w:proofErr w:type="spellStart"/>
      <w:r>
        <w:t>FeedbackFruits</w:t>
      </w:r>
      <w:proofErr w:type="spellEnd"/>
      <w:r>
        <w:t xml:space="preserve"> should continue using it and participate in the evaluation which will inform decisions on potential future University funding. For colleagues new to </w:t>
      </w:r>
      <w:proofErr w:type="spellStart"/>
      <w:r>
        <w:t>FeedbackFruits</w:t>
      </w:r>
      <w:proofErr w:type="spellEnd"/>
      <w:r>
        <w:t>, it was recommended to focus on tools they are already familiar with.</w:t>
      </w:r>
    </w:p>
    <w:p w14:paraId="329A9178" w14:textId="064776FE" w:rsidR="00B70EE1" w:rsidRDefault="00416EA3" w:rsidP="00416EA3">
      <w:pPr>
        <w:pStyle w:val="BodyText"/>
        <w:jc w:val="both"/>
      </w:pPr>
      <w:r>
        <w:t xml:space="preserve">The A&amp;F Lead suggested that </w:t>
      </w:r>
      <w:proofErr w:type="spellStart"/>
      <w:r>
        <w:t>FeedbackFruits</w:t>
      </w:r>
      <w:proofErr w:type="spellEnd"/>
      <w:r>
        <w:t xml:space="preserve"> is user-friendly and comparable to Moodle. Encouraging more staff to use the tool would enhance the evaluation process, making it more genuine, which could secure funding for </w:t>
      </w:r>
      <w:proofErr w:type="spellStart"/>
      <w:r>
        <w:t>FeedbackFruits</w:t>
      </w:r>
      <w:proofErr w:type="spellEnd"/>
      <w:r>
        <w:t>.</w:t>
      </w:r>
    </w:p>
    <w:p w14:paraId="0E7D6357" w14:textId="7EACB0F5" w:rsidR="00B70EE1" w:rsidRPr="00B86440" w:rsidRDefault="00416EA3" w:rsidP="00416EA3">
      <w:pPr>
        <w:pStyle w:val="BodyText"/>
        <w:jc w:val="both"/>
        <w:rPr>
          <w:b/>
        </w:rPr>
      </w:pPr>
      <w:r>
        <w:rPr>
          <w:b/>
        </w:rPr>
        <w:t>2. Discussion points:</w:t>
      </w:r>
    </w:p>
    <w:p w14:paraId="342BC61D" w14:textId="77777777" w:rsidR="00816208" w:rsidRDefault="00816208" w:rsidP="00816208">
      <w:pPr>
        <w:pStyle w:val="BodyText"/>
        <w:jc w:val="both"/>
      </w:pPr>
      <w:r>
        <w:t>It was noted that the PGT review will take place at the end of Semester One. DoTs will be asked to feedback on how have students engaged with the new criteria prior to the assessment, formative assessments and the links with the specific assessment criteria, SSLC/student feedback, and staff feedback. As part of the review, we will also be collating assessment briefs to enable us to look at assessment briefs, feedback sheets, etc.</w:t>
      </w:r>
    </w:p>
    <w:p w14:paraId="135DAE2F" w14:textId="071C69D9" w:rsidR="00B70EE1" w:rsidRDefault="00816208" w:rsidP="00816208">
      <w:pPr>
        <w:pStyle w:val="BodyText"/>
        <w:jc w:val="both"/>
      </w:pPr>
      <w:r>
        <w:t>The review will also focus on the differences in subjective and objective marking principles, but this is a bigger piece of work which will become ongoing.</w:t>
      </w:r>
    </w:p>
    <w:p w14:paraId="13626A69" w14:textId="1EE04481" w:rsidR="00B70EE1" w:rsidRDefault="00416EA3" w:rsidP="00416EA3">
      <w:pPr>
        <w:pStyle w:val="BodyText"/>
        <w:jc w:val="both"/>
      </w:pPr>
      <w:r>
        <w:t xml:space="preserve">Moderation practices will also be a key focus, particularly the differences between subjective marking and objective marking. </w:t>
      </w:r>
    </w:p>
    <w:p w14:paraId="23ADF01C" w14:textId="1CB0DD63" w:rsidR="00B70EE1" w:rsidRDefault="00416EA3" w:rsidP="00416EA3">
      <w:pPr>
        <w:pStyle w:val="BodyText"/>
        <w:jc w:val="both"/>
      </w:pPr>
      <w:r>
        <w:t xml:space="preserve">The new UG assessment criteria </w:t>
      </w:r>
      <w:proofErr w:type="gramStart"/>
      <w:r>
        <w:t>is</w:t>
      </w:r>
      <w:proofErr w:type="gramEnd"/>
      <w:r>
        <w:t xml:space="preserve"> planned to be implemented in the 2025/26 academic year. The criteria will adopt a similar approach to the PGT but with criteria for each UG level.</w:t>
      </w:r>
    </w:p>
    <w:p w14:paraId="7058CF5A" w14:textId="4829CE3F" w:rsidR="00B70EE1" w:rsidRDefault="00416EA3" w:rsidP="00416EA3">
      <w:pPr>
        <w:pStyle w:val="BodyText"/>
        <w:jc w:val="both"/>
      </w:pPr>
      <w:r>
        <w:t>The committee noted that six student focus groups (one per department) and six staff focus groups will be conducted before Christmas to gather further data. A working group will be formed following the analysis of the focus group data.</w:t>
      </w:r>
    </w:p>
    <w:p w14:paraId="19A71D99" w14:textId="06DA11F8" w:rsidR="00B70EE1" w:rsidRDefault="00416EA3" w:rsidP="00416EA3">
      <w:pPr>
        <w:pStyle w:val="BodyText"/>
        <w:jc w:val="both"/>
      </w:pPr>
      <w:r>
        <w:t>The draft UG assessment criteria are expected to be ready for approval at the May FLTQC. Directors of Teaching are suggested to participate in the focus groups, with further details to be shared via email shortly.</w:t>
      </w:r>
    </w:p>
    <w:p w14:paraId="363459FC" w14:textId="76F00AB7" w:rsidR="00B70EE1" w:rsidRPr="00B86440" w:rsidRDefault="00416EA3" w:rsidP="00416EA3">
      <w:pPr>
        <w:pStyle w:val="BodyText"/>
        <w:jc w:val="both"/>
        <w:rPr>
          <w:b/>
        </w:rPr>
      </w:pPr>
      <w:r>
        <w:rPr>
          <w:b/>
        </w:rPr>
        <w:t>3. Health Department's moderation proforma AY 2024/25 </w:t>
      </w:r>
    </w:p>
    <w:p w14:paraId="1B22D712" w14:textId="71D81473" w:rsidR="00B70EE1" w:rsidRDefault="00416EA3" w:rsidP="00416EA3">
      <w:pPr>
        <w:pStyle w:val="BodyText"/>
        <w:jc w:val="both"/>
      </w:pPr>
      <w:r>
        <w:t>A&amp;F Lead shared a moderation proforma which was introduced in the Health Department 2024/2025 to reflect moderation of assessments and moderation of marking, as outlined in the QA16 document. Moderators are assigned early to review and provide feedback on assessment design before they are released to students.</w:t>
      </w:r>
    </w:p>
    <w:p w14:paraId="22A19433" w14:textId="77777777" w:rsidR="00B70EE1" w:rsidRDefault="00416EA3" w:rsidP="00416EA3">
      <w:pPr>
        <w:pStyle w:val="BodyText"/>
        <w:jc w:val="both"/>
      </w:pPr>
      <w:r>
        <w:lastRenderedPageBreak/>
        <w:t xml:space="preserve">First Sheet: Captures basic assessment information, including details on </w:t>
      </w:r>
      <w:proofErr w:type="spellStart"/>
      <w:r>
        <w:t>GenAI</w:t>
      </w:r>
      <w:proofErr w:type="spellEnd"/>
      <w:r>
        <w:t xml:space="preserve"> and the assigned assessment moderator. </w:t>
      </w:r>
    </w:p>
    <w:p w14:paraId="2BBF2705" w14:textId="77777777" w:rsidR="00B70EE1" w:rsidRDefault="00B70EE1" w:rsidP="00416EA3">
      <w:pPr>
        <w:pStyle w:val="BodyText"/>
        <w:jc w:val="both"/>
      </w:pPr>
    </w:p>
    <w:p w14:paraId="02BC1497" w14:textId="0995774B" w:rsidR="00B70EE1" w:rsidRDefault="00416EA3" w:rsidP="00416EA3">
      <w:pPr>
        <w:pStyle w:val="BodyText"/>
        <w:jc w:val="both"/>
      </w:pPr>
      <w:r>
        <w:t xml:space="preserve">Second Sheet: Focuses on moderation of the assessment task. Moderators complete this before assessment details are shared with students. </w:t>
      </w:r>
    </w:p>
    <w:p w14:paraId="229A3DC3" w14:textId="460E20EF" w:rsidR="00B70EE1" w:rsidRDefault="00416EA3" w:rsidP="00416EA3">
      <w:pPr>
        <w:pStyle w:val="BodyText"/>
        <w:jc w:val="both"/>
      </w:pPr>
      <w:r>
        <w:t>Final Sheet: Focuses on moderation of marking and includes an Excel tool to automate sample size calculations.</w:t>
      </w:r>
    </w:p>
    <w:p w14:paraId="411F075F" w14:textId="27123C81" w:rsidR="00B70EE1" w:rsidRDefault="00416EA3" w:rsidP="00416EA3">
      <w:pPr>
        <w:pStyle w:val="BodyText"/>
        <w:jc w:val="both"/>
      </w:pPr>
      <w:r>
        <w:t>It was noted that some institutions, such as University of Cardiff, involve external examiners in reviewing assessment questions ahead of the academic year or semester, which could be considered as an additional layer to the proforma.</w:t>
      </w:r>
    </w:p>
    <w:p w14:paraId="3B709ED5" w14:textId="01A7E5E0" w:rsidR="00B70EE1" w:rsidRDefault="00416EA3" w:rsidP="00416EA3">
      <w:pPr>
        <w:pStyle w:val="BodyText"/>
        <w:jc w:val="both"/>
      </w:pPr>
      <w:r>
        <w:t>The Director of Studies in the Department of SPS raised concerns about the impact of the new moderation proforma on academic staff workload.</w:t>
      </w:r>
    </w:p>
    <w:p w14:paraId="513B99EE" w14:textId="212A8104" w:rsidR="00B70EE1" w:rsidRDefault="00416EA3" w:rsidP="00416EA3">
      <w:pPr>
        <w:pStyle w:val="BodyText"/>
        <w:jc w:val="both"/>
      </w:pPr>
      <w:r>
        <w:t>The Director of Teaching in the Department of Economics shared similar moderation forms were implemented last year in the Economics department. Concerns were raised that introducing a new form could cause confusion for staff who have only recently adapted to the previous version.</w:t>
      </w:r>
    </w:p>
    <w:p w14:paraId="1E77EBFE" w14:textId="76A44A99" w:rsidR="00B70EE1" w:rsidRDefault="00416EA3" w:rsidP="00416EA3">
      <w:pPr>
        <w:pStyle w:val="BodyText"/>
        <w:jc w:val="both"/>
      </w:pPr>
      <w:r>
        <w:t xml:space="preserve">The Chair </w:t>
      </w:r>
      <w:proofErr w:type="spellStart"/>
      <w:r>
        <w:t>emphasised</w:t>
      </w:r>
      <w:proofErr w:type="spellEnd"/>
      <w:r>
        <w:t xml:space="preserve"> the importance of moderation and assessment practices in enhancing the student learning experience by ensuring clarity and consistency across courses. It was noted that UCs and moderators are allocated specific time and hours for their roles, which are factored into workload models.</w:t>
      </w:r>
    </w:p>
    <w:p w14:paraId="4FEAE925" w14:textId="17CEB440" w:rsidR="00B70EE1" w:rsidRDefault="00416EA3" w:rsidP="00416EA3">
      <w:pPr>
        <w:pStyle w:val="BodyText"/>
        <w:jc w:val="both"/>
      </w:pPr>
      <w:r>
        <w:t xml:space="preserve">The Director of Teaching in the Department of PoLIS suggested developing the proforma in a </w:t>
      </w:r>
      <w:proofErr w:type="spellStart"/>
      <w:r>
        <w:t>standardised</w:t>
      </w:r>
      <w:proofErr w:type="spellEnd"/>
      <w:r>
        <w:t xml:space="preserve"> format to ensure clarity for external examiners. It was noted that any changes related to assessment feedback should be effectively communicated to external examiners to maintain transparency and consistency.</w:t>
      </w:r>
    </w:p>
    <w:p w14:paraId="30E6B612" w14:textId="6FE5C341" w:rsidR="00B70EE1" w:rsidRDefault="00416EA3" w:rsidP="00416EA3">
      <w:pPr>
        <w:pStyle w:val="BodyText"/>
        <w:jc w:val="both"/>
      </w:pPr>
      <w:r>
        <w:t>The A&amp;F Lead confirmed that moderation practices have been documented, primarily focusing on the moderation of marking, and this information has been shared with external examiners.</w:t>
      </w:r>
    </w:p>
    <w:p w14:paraId="3F6B922D" w14:textId="5C8083CE" w:rsidR="00B70EE1" w:rsidRDefault="00416EA3" w:rsidP="00416EA3">
      <w:pPr>
        <w:pStyle w:val="BodyText"/>
        <w:jc w:val="both"/>
      </w:pPr>
      <w:r>
        <w:t>It was noted that future documentation of moderation of assessment tasks will include additional details to enhance transparency and comprehensiveness.</w:t>
      </w:r>
    </w:p>
    <w:p w14:paraId="7D5E047A" w14:textId="494D64F4" w:rsidR="00B70EE1" w:rsidRDefault="00416EA3" w:rsidP="00416EA3">
      <w:pPr>
        <w:pStyle w:val="BodyText"/>
        <w:jc w:val="both"/>
      </w:pPr>
      <w:r>
        <w:t>The committee noted that Deputy Dean is actively working on the workload allocation model (WAMs), specifically reviewing hours allocated for roles such as UCs, Directors of Teaching, and Directors of Studies.</w:t>
      </w:r>
    </w:p>
    <w:p w14:paraId="0A9C519E" w14:textId="77777777" w:rsidR="00087901" w:rsidRDefault="00087901" w:rsidP="00087901">
      <w:pPr>
        <w:pStyle w:val="Heading4"/>
        <w:jc w:val="both"/>
        <w:rPr>
          <w:b w:val="0"/>
        </w:rPr>
      </w:pPr>
      <w:r>
        <w:t>Action</w:t>
      </w:r>
      <w:r>
        <w:rPr>
          <w:b w:val="0"/>
        </w:rPr>
        <w:t xml:space="preserve"> </w:t>
      </w:r>
    </w:p>
    <w:p w14:paraId="29F3E0FC" w14:textId="77777777" w:rsidR="00087901" w:rsidRDefault="00087901" w:rsidP="00087901">
      <w:pPr>
        <w:pStyle w:val="BodyText"/>
        <w:jc w:val="both"/>
      </w:pPr>
      <w:r>
        <w:t>To email invitations to Directors of Teaching (DoTs) to participate in focus groups.</w:t>
      </w:r>
    </w:p>
    <w:p w14:paraId="155C224B" w14:textId="17830BDF" w:rsidR="00087901" w:rsidRDefault="00087901" w:rsidP="00087901">
      <w:pPr>
        <w:pStyle w:val="BodyText"/>
        <w:jc w:val="both"/>
      </w:pPr>
      <w:r>
        <w:t xml:space="preserve">Action Status - Not Started   |   Due by - 23 Dec 2024   |   Assigned to - </w:t>
      </w:r>
      <w:r>
        <w:rPr>
          <w:rStyle w:val="normaltextrun"/>
          <w:color w:val="000000"/>
          <w:shd w:val="clear" w:color="auto" w:fill="FFFFFF"/>
        </w:rPr>
        <w:t>Rhiannon Edwards </w:t>
      </w:r>
      <w:r w:rsidRPr="007524A4">
        <w:rPr>
          <w:rStyle w:val="eop"/>
          <w:color w:val="000000"/>
          <w:shd w:val="clear" w:color="auto" w:fill="FFFFFF"/>
        </w:rPr>
        <w:t>&amp;</w:t>
      </w:r>
      <w:r>
        <w:rPr>
          <w:rStyle w:val="eop"/>
          <w:color w:val="000000"/>
          <w:shd w:val="clear" w:color="auto" w:fill="FFFFFF"/>
        </w:rPr>
        <w:t xml:space="preserve"> Lucy Noble</w:t>
      </w:r>
    </w:p>
    <w:p w14:paraId="7112BAAD" w14:textId="116CC8B2" w:rsidR="00B86440" w:rsidRDefault="00B86440" w:rsidP="00416EA3">
      <w:pPr>
        <w:pStyle w:val="Heading4"/>
        <w:jc w:val="both"/>
        <w:rPr>
          <w:b w:val="0"/>
        </w:rPr>
      </w:pPr>
      <w:r>
        <w:t>Action</w:t>
      </w:r>
      <w:r>
        <w:rPr>
          <w:b w:val="0"/>
        </w:rPr>
        <w:t xml:space="preserve"> </w:t>
      </w:r>
    </w:p>
    <w:p w14:paraId="39EED3C5" w14:textId="1A3F0F2D" w:rsidR="00087901" w:rsidRDefault="00087901" w:rsidP="00416EA3">
      <w:pPr>
        <w:pStyle w:val="BodyText"/>
        <w:jc w:val="both"/>
      </w:pPr>
      <w:r w:rsidRPr="00087901">
        <w:t>Consultations at DLTQCs regarding Assessment and Feedback, ensuring the Chair and Secretary are briefed</w:t>
      </w:r>
      <w:r>
        <w:t>.</w:t>
      </w:r>
    </w:p>
    <w:p w14:paraId="1CC39160" w14:textId="023B59C0" w:rsidR="00B86440" w:rsidRDefault="00B86440" w:rsidP="00416EA3">
      <w:pPr>
        <w:pStyle w:val="BodyText"/>
        <w:jc w:val="both"/>
      </w:pPr>
      <w:r>
        <w:t xml:space="preserve">Action Status - Not Started   |   Due by - 6 Jan 2025   |   Assigned to - </w:t>
      </w:r>
      <w:r>
        <w:rPr>
          <w:rStyle w:val="normaltextrun"/>
          <w:color w:val="000000"/>
          <w:shd w:val="clear" w:color="auto" w:fill="FFFFFF"/>
        </w:rPr>
        <w:t>Rhiannon Edwards </w:t>
      </w:r>
      <w:r w:rsidRPr="007524A4">
        <w:rPr>
          <w:rStyle w:val="eop"/>
          <w:color w:val="000000"/>
          <w:shd w:val="clear" w:color="auto" w:fill="FFFFFF"/>
        </w:rPr>
        <w:t>&amp;</w:t>
      </w:r>
      <w:r>
        <w:rPr>
          <w:rStyle w:val="eop"/>
          <w:color w:val="000000"/>
          <w:shd w:val="clear" w:color="auto" w:fill="FFFFFF"/>
        </w:rPr>
        <w:t xml:space="preserve"> Lucy Noble</w:t>
      </w:r>
    </w:p>
    <w:p w14:paraId="15ACC274" w14:textId="77777777" w:rsidR="00B86440" w:rsidRDefault="00B86440" w:rsidP="00416EA3">
      <w:pPr>
        <w:pStyle w:val="Heading4"/>
        <w:jc w:val="both"/>
        <w:rPr>
          <w:b w:val="0"/>
        </w:rPr>
      </w:pPr>
      <w:r>
        <w:lastRenderedPageBreak/>
        <w:t>Action</w:t>
      </w:r>
      <w:r>
        <w:rPr>
          <w:b w:val="0"/>
        </w:rPr>
        <w:t xml:space="preserve"> </w:t>
      </w:r>
    </w:p>
    <w:p w14:paraId="1FACA6EC" w14:textId="77777777" w:rsidR="00B86440" w:rsidRDefault="00B86440" w:rsidP="00416EA3">
      <w:pPr>
        <w:pStyle w:val="BodyText"/>
        <w:jc w:val="both"/>
      </w:pPr>
      <w:r>
        <w:t xml:space="preserve">To send UG assessment criteria draft to the April or May FLTQC </w:t>
      </w:r>
    </w:p>
    <w:p w14:paraId="3D8C69DA" w14:textId="77777777" w:rsidR="00B86440" w:rsidRDefault="00B86440" w:rsidP="00416EA3">
      <w:pPr>
        <w:pStyle w:val="BodyText"/>
        <w:jc w:val="both"/>
      </w:pPr>
      <w:r>
        <w:t xml:space="preserve">Action Status - Not Started   |   Due by - 29 May 2025   |   Assigned to - </w:t>
      </w:r>
      <w:r>
        <w:rPr>
          <w:rStyle w:val="normaltextrun"/>
          <w:color w:val="000000"/>
          <w:shd w:val="clear" w:color="auto" w:fill="FFFFFF"/>
        </w:rPr>
        <w:t>Rhiannon Edwards </w:t>
      </w:r>
      <w:r w:rsidRPr="007524A4">
        <w:rPr>
          <w:rStyle w:val="eop"/>
          <w:color w:val="000000"/>
          <w:shd w:val="clear" w:color="auto" w:fill="FFFFFF"/>
        </w:rPr>
        <w:t>&amp;</w:t>
      </w:r>
      <w:r>
        <w:rPr>
          <w:rStyle w:val="eop"/>
          <w:color w:val="000000"/>
          <w:shd w:val="clear" w:color="auto" w:fill="FFFFFF"/>
        </w:rPr>
        <w:t xml:space="preserve"> Lucy Noble</w:t>
      </w:r>
    </w:p>
    <w:p w14:paraId="09D4D9A6" w14:textId="77777777" w:rsidR="00B70EE1" w:rsidRDefault="00B70EE1" w:rsidP="00416EA3">
      <w:pPr>
        <w:pStyle w:val="BodyText"/>
        <w:jc w:val="both"/>
      </w:pPr>
    </w:p>
    <w:p w14:paraId="45AE7E82" w14:textId="77777777" w:rsidR="00B70EE1" w:rsidRDefault="00416EA3" w:rsidP="00416EA3">
      <w:pPr>
        <w:pStyle w:val="Heading2"/>
        <w:jc w:val="both"/>
      </w:pPr>
      <w:r>
        <w:t>938.0 Assurances on local department assessment deadlines and absence of conflicts for students</w:t>
      </w:r>
    </w:p>
    <w:p w14:paraId="52382CD3" w14:textId="77777777" w:rsidR="00B70EE1" w:rsidRDefault="00B70EE1" w:rsidP="00416EA3">
      <w:pPr>
        <w:pStyle w:val="HorizontalLine"/>
        <w:jc w:val="both"/>
      </w:pPr>
    </w:p>
    <w:p w14:paraId="3B26148F" w14:textId="77777777" w:rsidR="00B86440" w:rsidRDefault="00B86440" w:rsidP="00416EA3">
      <w:pPr>
        <w:pStyle w:val="Heading2"/>
        <w:jc w:val="both"/>
      </w:pPr>
      <w:r>
        <w:t>939.0 Any upcoming accreditations</w:t>
      </w:r>
    </w:p>
    <w:p w14:paraId="3EEF826C" w14:textId="77777777" w:rsidR="00B86440" w:rsidRDefault="00B86440" w:rsidP="00416EA3">
      <w:pPr>
        <w:pStyle w:val="HorizontalLine"/>
        <w:jc w:val="both"/>
      </w:pPr>
    </w:p>
    <w:p w14:paraId="390B7496" w14:textId="72BB27B3" w:rsidR="00B70EE1" w:rsidRDefault="00416EA3" w:rsidP="00416EA3">
      <w:pPr>
        <w:pStyle w:val="BodyText"/>
        <w:jc w:val="both"/>
      </w:pPr>
      <w:r>
        <w:t>Noted items 938 and 939 linked to the new schedule of business, functions as a tick-box exercise to address Quality Assurance (QA) matters.</w:t>
      </w:r>
    </w:p>
    <w:p w14:paraId="2593E7FB" w14:textId="1E6021D1" w:rsidR="00B70EE1" w:rsidRDefault="00416EA3" w:rsidP="00416EA3">
      <w:pPr>
        <w:pStyle w:val="BodyText"/>
        <w:jc w:val="both"/>
      </w:pPr>
      <w:r>
        <w:t>Members were reminded to vote on the relevant matters.</w:t>
      </w:r>
    </w:p>
    <w:p w14:paraId="36375716" w14:textId="77777777" w:rsidR="00B70EE1" w:rsidRDefault="00B70EE1" w:rsidP="00416EA3">
      <w:pPr>
        <w:pStyle w:val="BodyText"/>
        <w:jc w:val="both"/>
      </w:pPr>
    </w:p>
    <w:p w14:paraId="0414A4BD" w14:textId="77777777" w:rsidR="00B70EE1" w:rsidRDefault="00416EA3" w:rsidP="00416EA3">
      <w:pPr>
        <w:pStyle w:val="Heading2"/>
        <w:jc w:val="both"/>
      </w:pPr>
      <w:r>
        <w:t>940.0 Reminder of upcoming course change deadlines</w:t>
      </w:r>
    </w:p>
    <w:p w14:paraId="27008D8D" w14:textId="77777777" w:rsidR="00B70EE1" w:rsidRDefault="00B70EE1" w:rsidP="00416EA3">
      <w:pPr>
        <w:pStyle w:val="HorizontalLine"/>
        <w:jc w:val="both"/>
      </w:pPr>
    </w:p>
    <w:p w14:paraId="3800EBB9" w14:textId="77777777" w:rsidR="00B70EE1" w:rsidRDefault="00416EA3" w:rsidP="00416EA3">
      <w:pPr>
        <w:pStyle w:val="BodyText"/>
        <w:jc w:val="both"/>
      </w:pPr>
      <w:r>
        <w:t>Committees noted that changes should be planned and submitted ahead of time, particularly for Year 3 CT and PGT programs. Deadlines will be circulated to DLTQC Secretaries.</w:t>
      </w:r>
    </w:p>
    <w:p w14:paraId="165FF439" w14:textId="77777777" w:rsidR="00B70EE1" w:rsidRDefault="00B70EE1" w:rsidP="00416EA3">
      <w:pPr>
        <w:pStyle w:val="BodyText"/>
        <w:spacing w:after="0"/>
        <w:jc w:val="both"/>
      </w:pPr>
    </w:p>
    <w:p w14:paraId="7A28E447" w14:textId="77777777" w:rsidR="00B70EE1" w:rsidRDefault="00B70EE1" w:rsidP="00416EA3">
      <w:pPr>
        <w:pStyle w:val="BodyText"/>
        <w:jc w:val="both"/>
      </w:pPr>
    </w:p>
    <w:p w14:paraId="0DCA7321" w14:textId="77777777" w:rsidR="00B70EE1" w:rsidRDefault="00416EA3" w:rsidP="00416EA3">
      <w:pPr>
        <w:pStyle w:val="Heading2"/>
        <w:jc w:val="both"/>
      </w:pPr>
      <w:r>
        <w:t>941.0 New Course Proposal: Royal Academy of Dance</w:t>
      </w:r>
    </w:p>
    <w:p w14:paraId="26C9E3F0" w14:textId="77777777" w:rsidR="00B70EE1" w:rsidRDefault="00B70EE1" w:rsidP="00416EA3">
      <w:pPr>
        <w:pStyle w:val="HorizontalLine"/>
        <w:jc w:val="both"/>
      </w:pPr>
    </w:p>
    <w:p w14:paraId="52353732" w14:textId="77777777" w:rsidR="008B7BA2" w:rsidRDefault="008B7BA2" w:rsidP="008B7BA2">
      <w:pPr>
        <w:pStyle w:val="BodyText"/>
        <w:jc w:val="both"/>
      </w:pPr>
      <w:r>
        <w:t>The Partnerships Quality Manager presented the course documentation for the approval of the two-year variant. It was clarified that the current program is already offered as a three-year part-time course, and the proposed new structure introduces a fast-track two-year version by condensing the same units into a shorter timeframe.</w:t>
      </w:r>
    </w:p>
    <w:p w14:paraId="5E934F08" w14:textId="77777777" w:rsidR="008B7BA2" w:rsidRDefault="008B7BA2" w:rsidP="008B7BA2">
      <w:pPr>
        <w:pStyle w:val="BodyText"/>
        <w:jc w:val="both"/>
      </w:pPr>
      <w:r>
        <w:t>Members noted that the new structure provides flexibility for students, allowing those who find the two-year track too intensive to revert to the three-year part-time program to better manage their workload. This approach accommodates the needs of students, many of whom are already working as dance teachers as part of the program requirements.</w:t>
      </w:r>
    </w:p>
    <w:p w14:paraId="544BC5E3" w14:textId="77777777" w:rsidR="008B7BA2" w:rsidRDefault="008B7BA2" w:rsidP="008B7BA2">
      <w:pPr>
        <w:pStyle w:val="BodyText"/>
        <w:jc w:val="both"/>
      </w:pPr>
      <w:r>
        <w:t xml:space="preserve">The committee commended colleagues for the thorough documentation and noted some minor details were clarified via the Assistant Registrar prior to the meeting. </w:t>
      </w:r>
    </w:p>
    <w:p w14:paraId="1F2AAAD0" w14:textId="79F38973" w:rsidR="00B86440" w:rsidRDefault="008B7BA2" w:rsidP="008B7BA2">
      <w:pPr>
        <w:pStyle w:val="BodyText"/>
        <w:jc w:val="both"/>
      </w:pPr>
      <w:r>
        <w:t>The committee approved the course documentation and recommended it be considered at the Course and Partnerships Approval Committee.</w:t>
      </w:r>
    </w:p>
    <w:p w14:paraId="57B8AC6E" w14:textId="77777777" w:rsidR="00B70EE1" w:rsidRDefault="00416EA3" w:rsidP="00416EA3">
      <w:pPr>
        <w:pStyle w:val="Heading2"/>
        <w:jc w:val="both"/>
      </w:pPr>
      <w:r>
        <w:t xml:space="preserve">942.0 New </w:t>
      </w:r>
      <w:proofErr w:type="spellStart"/>
      <w:r>
        <w:t>Euromasters</w:t>
      </w:r>
      <w:proofErr w:type="spellEnd"/>
      <w:r>
        <w:t xml:space="preserve"> Partnership Proposal: Universidad </w:t>
      </w:r>
      <w:r>
        <w:lastRenderedPageBreak/>
        <w:t>de Salamanca</w:t>
      </w:r>
    </w:p>
    <w:p w14:paraId="5CD95B35" w14:textId="77777777" w:rsidR="00B70EE1" w:rsidRDefault="00B70EE1" w:rsidP="00416EA3">
      <w:pPr>
        <w:pStyle w:val="HorizontalLine"/>
        <w:jc w:val="both"/>
      </w:pPr>
    </w:p>
    <w:p w14:paraId="3CE9C9C4" w14:textId="42E7C395" w:rsidR="00B70EE1" w:rsidRDefault="00416EA3" w:rsidP="00416EA3">
      <w:pPr>
        <w:pStyle w:val="BodyText"/>
        <w:jc w:val="both"/>
      </w:pPr>
      <w:r>
        <w:t xml:space="preserve">The committee considered a proposal from the Department of PoLIS to add an additional partner to the </w:t>
      </w:r>
      <w:proofErr w:type="spellStart"/>
      <w:r>
        <w:t>Euromasters</w:t>
      </w:r>
      <w:proofErr w:type="spellEnd"/>
      <w:r>
        <w:t xml:space="preserve"> consortium, The University of Salamanca. It was noted that Salamanca had received strategic approval from Senate to be a collaborative partner of the University and this was Stage Two and focused on academic consideration and the site visit report. The University of Salamanca was praised as an excellent institution, and its potential partnership was viewed positively.</w:t>
      </w:r>
    </w:p>
    <w:p w14:paraId="1FA436A1" w14:textId="5046F2AF" w:rsidR="00B70EE1" w:rsidRDefault="00416EA3" w:rsidP="00416EA3">
      <w:pPr>
        <w:pStyle w:val="BodyText"/>
        <w:jc w:val="both"/>
      </w:pPr>
      <w:r>
        <w:t>The committee approved the paperwork recommended it should now be considered at the Course and Partnerships Approval Committee.</w:t>
      </w:r>
    </w:p>
    <w:p w14:paraId="1AAF6E5B" w14:textId="4CD90F52" w:rsidR="00B70EE1" w:rsidRDefault="00416EA3" w:rsidP="00416EA3">
      <w:pPr>
        <w:pStyle w:val="BodyText"/>
        <w:jc w:val="both"/>
      </w:pPr>
      <w:r>
        <w:t>During the discussion, it was noted that the University of Coimbra in Portugal also approached the consortium two months ago, and documents for their application will be prepared in due course. The consortium generally avoids including two universities from the same country to prevent competition between institutions.</w:t>
      </w:r>
    </w:p>
    <w:p w14:paraId="57295872" w14:textId="77777777" w:rsidR="00B70EE1" w:rsidRDefault="00B70EE1" w:rsidP="00416EA3">
      <w:pPr>
        <w:pStyle w:val="BodyText"/>
        <w:jc w:val="both"/>
      </w:pPr>
    </w:p>
    <w:p w14:paraId="2DD9E981" w14:textId="77777777" w:rsidR="00B86440" w:rsidRDefault="00B86440" w:rsidP="00416EA3">
      <w:pPr>
        <w:pStyle w:val="Heading4"/>
        <w:jc w:val="both"/>
        <w:rPr>
          <w:b w:val="0"/>
        </w:rPr>
      </w:pPr>
      <w:r>
        <w:t>Action</w:t>
      </w:r>
      <w:r>
        <w:rPr>
          <w:b w:val="0"/>
        </w:rPr>
        <w:t xml:space="preserve"> </w:t>
      </w:r>
    </w:p>
    <w:p w14:paraId="1BDFBEA6" w14:textId="77777777" w:rsidR="00B86440" w:rsidRDefault="00B86440" w:rsidP="00416EA3">
      <w:pPr>
        <w:pStyle w:val="BodyText"/>
        <w:jc w:val="both"/>
      </w:pPr>
      <w:r>
        <w:t>Submit paperwork to January CPAC.</w:t>
      </w:r>
    </w:p>
    <w:p w14:paraId="286DF9F6" w14:textId="0027953B" w:rsidR="00B70EE1" w:rsidRDefault="00B86440" w:rsidP="00416EA3">
      <w:pPr>
        <w:pStyle w:val="BodyText"/>
        <w:jc w:val="both"/>
      </w:pPr>
      <w:r>
        <w:t xml:space="preserve">Action Status - Not Started   |   Due by - 10 Jan 2025   |   Assigned to - Mattia </w:t>
      </w:r>
      <w:proofErr w:type="spellStart"/>
      <w:r>
        <w:t>Cacciatori</w:t>
      </w:r>
      <w:proofErr w:type="spellEnd"/>
      <w:r>
        <w:t xml:space="preserve"> </w:t>
      </w:r>
    </w:p>
    <w:p w14:paraId="1E1B2A2F" w14:textId="77777777" w:rsidR="00B70EE1" w:rsidRDefault="00B70EE1" w:rsidP="00416EA3">
      <w:pPr>
        <w:pStyle w:val="BodyText"/>
        <w:jc w:val="both"/>
      </w:pPr>
    </w:p>
    <w:p w14:paraId="132E226C" w14:textId="77777777" w:rsidR="00B70EE1" w:rsidRDefault="00416EA3" w:rsidP="00416EA3">
      <w:pPr>
        <w:pStyle w:val="Heading2"/>
        <w:jc w:val="both"/>
      </w:pPr>
      <w:r>
        <w:t>943.0 2023/4 Annual Monitoring Reports for the Royal Academy of Dance (Validated Courses)</w:t>
      </w:r>
    </w:p>
    <w:p w14:paraId="39E10B29" w14:textId="77777777" w:rsidR="00B70EE1" w:rsidRDefault="00B70EE1" w:rsidP="00416EA3">
      <w:pPr>
        <w:pStyle w:val="HorizontalLine"/>
        <w:jc w:val="both"/>
      </w:pPr>
    </w:p>
    <w:p w14:paraId="57048F24" w14:textId="0994AFCF" w:rsidR="00B70EE1" w:rsidRDefault="00416EA3" w:rsidP="00416EA3">
      <w:pPr>
        <w:pStyle w:val="BodyText"/>
        <w:jc w:val="both"/>
      </w:pPr>
      <w:r>
        <w:t xml:space="preserve">Members considered the annual reports submitted by the Royal Dance Academy. Key discussion points included: </w:t>
      </w:r>
    </w:p>
    <w:p w14:paraId="08AFE496" w14:textId="28295498" w:rsidR="00B70EE1" w:rsidRDefault="00416EA3" w:rsidP="00416EA3">
      <w:pPr>
        <w:pStyle w:val="BodyText"/>
        <w:jc w:val="both"/>
      </w:pPr>
      <w:r>
        <w:t>• Despite the flexibility required for students combining work and study, the program is performing well, with no significant issues observed in terms of completion rates. Some concerns were raised regarding communication with students about personal tutors, feedback, and assessment, but overall, the content delivery and assessment were positively highlighted. The high quality of paperwork submitted to the DLTQC was serving as an example for colleagues when preparing similar reports.</w:t>
      </w:r>
    </w:p>
    <w:p w14:paraId="7BE1188F" w14:textId="549F1C81" w:rsidR="00B70EE1" w:rsidRDefault="00416EA3" w:rsidP="00416EA3">
      <w:pPr>
        <w:pStyle w:val="BodyText"/>
        <w:jc w:val="both"/>
      </w:pPr>
      <w:r>
        <w:t>• The program was commended for its performance, supported by strong NSS scores, despite the challenges of running such complex programs.</w:t>
      </w:r>
    </w:p>
    <w:p w14:paraId="07B0CF3D" w14:textId="771574E3" w:rsidR="00B70EE1" w:rsidRDefault="00416EA3" w:rsidP="00416EA3">
      <w:pPr>
        <w:pStyle w:val="BodyText"/>
        <w:jc w:val="both"/>
      </w:pPr>
      <w:r>
        <w:t>• Specific examples of good practice were noted, particularly in areas such as feedback and related activities, which were highlighted as models worth sharing across departments.</w:t>
      </w:r>
    </w:p>
    <w:p w14:paraId="250B0013" w14:textId="77777777" w:rsidR="00B70EE1" w:rsidRDefault="00B70EE1" w:rsidP="00416EA3">
      <w:pPr>
        <w:pStyle w:val="BodyText"/>
        <w:jc w:val="both"/>
      </w:pPr>
    </w:p>
    <w:p w14:paraId="320E931F" w14:textId="77777777" w:rsidR="00B70EE1" w:rsidRDefault="00416EA3" w:rsidP="00416EA3">
      <w:pPr>
        <w:pStyle w:val="Heading2"/>
        <w:jc w:val="both"/>
      </w:pPr>
      <w:r>
        <w:t>944.0 Education Action Plans</w:t>
      </w:r>
    </w:p>
    <w:p w14:paraId="742EEB45" w14:textId="77777777" w:rsidR="00B70EE1" w:rsidRDefault="00B70EE1" w:rsidP="00416EA3">
      <w:pPr>
        <w:pStyle w:val="HorizontalLine"/>
        <w:jc w:val="both"/>
      </w:pPr>
    </w:p>
    <w:p w14:paraId="01DE87F9" w14:textId="0D321FE7" w:rsidR="00B70EE1" w:rsidRDefault="00416EA3" w:rsidP="00416EA3">
      <w:pPr>
        <w:pStyle w:val="BodyText"/>
        <w:jc w:val="both"/>
      </w:pPr>
      <w:r>
        <w:t xml:space="preserve">The committee noted that a guideline or model has been developed to showcase these exemplary </w:t>
      </w:r>
      <w:r>
        <w:lastRenderedPageBreak/>
        <w:t>practices, providing a reference for creating Education Action Plans.</w:t>
      </w:r>
    </w:p>
    <w:p w14:paraId="51131646" w14:textId="77777777" w:rsidR="00B70EE1" w:rsidRDefault="00416EA3" w:rsidP="00416EA3">
      <w:pPr>
        <w:pStyle w:val="BodyText"/>
        <w:jc w:val="both"/>
      </w:pPr>
      <w:r>
        <w:t>The focus is on sharing the best ideas and strategies to improve the development and implementation of these plans across departments.</w:t>
      </w:r>
    </w:p>
    <w:p w14:paraId="0149176B" w14:textId="77777777" w:rsidR="00B70EE1" w:rsidRDefault="00B70EE1" w:rsidP="00416EA3">
      <w:pPr>
        <w:pStyle w:val="BodyText"/>
        <w:jc w:val="both"/>
      </w:pPr>
    </w:p>
    <w:p w14:paraId="6C141758" w14:textId="77777777" w:rsidR="00B70EE1" w:rsidRDefault="00416EA3" w:rsidP="00416EA3">
      <w:pPr>
        <w:pStyle w:val="Heading2"/>
        <w:jc w:val="both"/>
      </w:pPr>
      <w:r>
        <w:t>945.0 Experiential Learning/Vertically Integrated Projects</w:t>
      </w:r>
    </w:p>
    <w:p w14:paraId="2F3EA24B" w14:textId="77777777" w:rsidR="00B70EE1" w:rsidRDefault="00B70EE1" w:rsidP="00416EA3">
      <w:pPr>
        <w:pStyle w:val="HorizontalLine"/>
        <w:jc w:val="both"/>
      </w:pPr>
    </w:p>
    <w:p w14:paraId="20812DA1" w14:textId="56FEA913" w:rsidR="00B70EE1" w:rsidRDefault="00416EA3" w:rsidP="00416EA3">
      <w:pPr>
        <w:pStyle w:val="BodyText"/>
        <w:jc w:val="both"/>
      </w:pPr>
      <w:r>
        <w:t>Deputy Head of Department of Physics presented to the committee the Vertically Integrated Projects (VIPs) units offered in the Faculty of Science to students which link research and teaching. The projects align with the UN Sustainable Development Goals, involve large interdisciplinary teams, and span multiple years, allowing students to progress and mentor across year groups.</w:t>
      </w:r>
    </w:p>
    <w:p w14:paraId="65CECE4C" w14:textId="02A914AC" w:rsidR="00B70EE1" w:rsidRDefault="00416EA3" w:rsidP="00416EA3">
      <w:pPr>
        <w:pStyle w:val="BodyText"/>
        <w:jc w:val="both"/>
      </w:pPr>
      <w:r>
        <w:t>It is noted that VIPs have been offered as voluntary extracurricular activities through the Centre for Learning and Teaching. However, a new academic unit (XX3) for VIPs is being introduced, providing formal credit (currently 12 credits, transitioning to 15 credits next year). The structure is modelled after successful projects in Physics, such as industry team projects and public engagement activities. It was noted that Vertically Integrated Projects (VIPs) vary each year, reflecting diverse research interests and activities. VIPs offer opportunities for academics to build connections, engage in meaningful projects, and contribute to innovative teaching practices.</w:t>
      </w:r>
    </w:p>
    <w:p w14:paraId="5DCB994A" w14:textId="2B8ACB00" w:rsidR="00B70EE1" w:rsidRDefault="00416EA3" w:rsidP="00416EA3">
      <w:pPr>
        <w:pStyle w:val="BodyText"/>
        <w:jc w:val="both"/>
      </w:pPr>
      <w:r>
        <w:t>Members were requested to consider if VIPs could be an option within their courses with tailored formats, such as semester-only units, different credit allocations or other adaptations that might suit their needs. It is noted that assessment needs to account for variations in unit duration (semester-long vs. full-year). If a student takes a credit bearing VIP, this will then be reflected and recognized on the student's transcripts. If a student takes a VIP as a non-credit bearing extra-curricular project, then this is not recognized on the student's transcript.</w:t>
      </w:r>
    </w:p>
    <w:p w14:paraId="1EC33F6E" w14:textId="069A818B" w:rsidR="00B70EE1" w:rsidRDefault="00416EA3" w:rsidP="00416EA3">
      <w:pPr>
        <w:pStyle w:val="BodyText"/>
        <w:jc w:val="both"/>
      </w:pPr>
      <w:r>
        <w:t xml:space="preserve">The Chair raised some initial ideas for thought: on PGT </w:t>
      </w:r>
      <w:proofErr w:type="spellStart"/>
      <w:r>
        <w:t>programmes</w:t>
      </w:r>
      <w:proofErr w:type="spellEnd"/>
      <w:r>
        <w:t xml:space="preserve"> would it be possible to apply a combined structure, whereby a 15-credit experiential learning unit could complement a 15-credit dissertation report, and together they could count as an equivalent to a 30 Credit dissertation. This could align with proposals for alternative dissertation assessments, such as placement or consultancy project tracks.</w:t>
      </w:r>
    </w:p>
    <w:p w14:paraId="198C4CD3" w14:textId="706860FF" w:rsidR="00B70EE1" w:rsidRDefault="00416EA3" w:rsidP="00416EA3">
      <w:pPr>
        <w:pStyle w:val="BodyText"/>
        <w:jc w:val="both"/>
      </w:pPr>
      <w:r>
        <w:t xml:space="preserve">Deputy Head of Department of Physics shared that PG students, including PGT and PhD students, are already participating in voluntary Vertically Integrated Projects (VIPs). There are no barriers in principle to embedding VIPs into postgraduate programs as credit-bearing units. </w:t>
      </w:r>
    </w:p>
    <w:p w14:paraId="681F1CB0" w14:textId="68CBA02F" w:rsidR="00B70EE1" w:rsidRDefault="00416EA3" w:rsidP="00416EA3">
      <w:pPr>
        <w:pStyle w:val="BodyText"/>
        <w:jc w:val="both"/>
      </w:pPr>
      <w:r>
        <w:t xml:space="preserve">The Director of Teaching in the Department of Health requested examples of successful Vertically Integrated Projects (VIPs) within HSS to illustrate the benefits for both students and academics to address concerns about the additional workload for teaching staffs, student employability, research opportunities and external partnerships. </w:t>
      </w:r>
    </w:p>
    <w:p w14:paraId="6C4BD7A9" w14:textId="66CD2B93" w:rsidR="00B70EE1" w:rsidRDefault="00416EA3" w:rsidP="00416EA3">
      <w:pPr>
        <w:pStyle w:val="BodyText"/>
        <w:jc w:val="both"/>
      </w:pPr>
      <w:r>
        <w:t>It was confirmed that VIPs are now included in the Workload Allocation Model (WAMs). WAM allocators can assign workload hours for VIPs as part of regular teaching duties. Credit-bearing VIPs would replace other units in a student's program, attracting workload hours in the same way as any other unit.</w:t>
      </w:r>
    </w:p>
    <w:p w14:paraId="171030AD" w14:textId="680D93F2" w:rsidR="00B70EE1" w:rsidRDefault="00416EA3" w:rsidP="00416EA3">
      <w:pPr>
        <w:pStyle w:val="BodyText"/>
        <w:jc w:val="both"/>
      </w:pPr>
      <w:r>
        <w:t>The Chair suggested to promote non-credit-bearing Vertically Integrated Projects (VIPs) in Semester Two to raise their profile among undergraduate students to encourage UG student participation.</w:t>
      </w:r>
    </w:p>
    <w:p w14:paraId="14C49DC8" w14:textId="6BF19A2E" w:rsidR="00B70EE1" w:rsidRDefault="00416EA3" w:rsidP="00416EA3">
      <w:pPr>
        <w:pStyle w:val="BodyText"/>
        <w:jc w:val="both"/>
      </w:pPr>
      <w:r>
        <w:t xml:space="preserve">The Faculty Assistant Registrar suggested considering a semester-based 5-credit Consultant </w:t>
      </w:r>
      <w:r>
        <w:lastRenderedPageBreak/>
        <w:t xml:space="preserve">Project unit and </w:t>
      </w:r>
      <w:proofErr w:type="spellStart"/>
      <w:r>
        <w:t>emphasised</w:t>
      </w:r>
      <w:proofErr w:type="spellEnd"/>
      <w:r>
        <w:t xml:space="preserve"> the need to review the feasibility of a 15-credit unit within existing course structures.</w:t>
      </w:r>
    </w:p>
    <w:p w14:paraId="6A53F4A6" w14:textId="2EB4CCCD" w:rsidR="00B70EE1" w:rsidRDefault="00416EA3" w:rsidP="00416EA3">
      <w:pPr>
        <w:pStyle w:val="BodyText"/>
        <w:jc w:val="both"/>
      </w:pPr>
      <w:r>
        <w:t xml:space="preserve">It was agreed that conversations should continue to consider the feasibility with an aim to trial in certain departments prior to a wider Faculty implementation. It was agreed that appropriate models should be explored, for example, allocated members of staff to oversee VIPs and a clear process to monitor student progress and engagement. </w:t>
      </w:r>
    </w:p>
    <w:p w14:paraId="16C48858" w14:textId="69219223" w:rsidR="00B70EE1" w:rsidRDefault="00416EA3" w:rsidP="00416EA3">
      <w:pPr>
        <w:pStyle w:val="BodyText"/>
        <w:jc w:val="both"/>
      </w:pPr>
      <w:r>
        <w:t>During discussion the ethical approval process was raised as a potential barrier. It was agreed that the committee required clarification on the ethical approval process for practicums and VIPs to address confidentiality and sensitive information concerns.</w:t>
      </w:r>
    </w:p>
    <w:p w14:paraId="4040D44C" w14:textId="47F0355C" w:rsidR="00B70EE1" w:rsidRDefault="00416EA3" w:rsidP="00416EA3">
      <w:pPr>
        <w:pStyle w:val="BodyText"/>
        <w:jc w:val="both"/>
      </w:pPr>
      <w:r>
        <w:t>It was noted that VIP as a unit in a course must align with the course's Intended Learning Outcomes (ILOs) and go through the standard approval process including submission to FLTQC for review and validation. Deputy Head of Department of Physics suggested to establish a clear framework for assigning assessors from students' home departments and coordinating moderation processes across disciplines.</w:t>
      </w:r>
    </w:p>
    <w:p w14:paraId="054562E5" w14:textId="653BF2CC" w:rsidR="00B70EE1" w:rsidRDefault="00416EA3" w:rsidP="00416EA3">
      <w:pPr>
        <w:pStyle w:val="BodyText"/>
        <w:jc w:val="both"/>
      </w:pPr>
      <w:r>
        <w:t xml:space="preserve">The Reader in the Department of SPS suggested to involve Knowledge Exchange and Impact teams to identify and build partnerships with key </w:t>
      </w:r>
      <w:proofErr w:type="spellStart"/>
      <w:r>
        <w:t>organisations</w:t>
      </w:r>
      <w:proofErr w:type="spellEnd"/>
      <w:r>
        <w:t xml:space="preserve"> for sustained collaboration.</w:t>
      </w:r>
    </w:p>
    <w:p w14:paraId="72532485" w14:textId="47DE56EC" w:rsidR="00B70EE1" w:rsidRDefault="00416EA3" w:rsidP="00416EA3">
      <w:pPr>
        <w:pStyle w:val="BodyText"/>
        <w:jc w:val="both"/>
      </w:pPr>
      <w:r>
        <w:t>It was noted that any trials for next academic year would require approval at the January FLTQC.</w:t>
      </w:r>
    </w:p>
    <w:p w14:paraId="78AB60C0" w14:textId="77777777" w:rsidR="00B86440" w:rsidRDefault="00B86440" w:rsidP="00416EA3">
      <w:pPr>
        <w:pStyle w:val="Heading4"/>
        <w:jc w:val="both"/>
        <w:rPr>
          <w:b w:val="0"/>
        </w:rPr>
      </w:pPr>
      <w:r>
        <w:t>Action</w:t>
      </w:r>
      <w:r>
        <w:rPr>
          <w:b w:val="0"/>
        </w:rPr>
        <w:t xml:space="preserve"> </w:t>
      </w:r>
    </w:p>
    <w:p w14:paraId="61AB9EFB" w14:textId="77777777" w:rsidR="00B86440" w:rsidRDefault="00B86440" w:rsidP="00416EA3">
      <w:pPr>
        <w:pStyle w:val="BodyText"/>
        <w:jc w:val="both"/>
      </w:pPr>
      <w:r>
        <w:t xml:space="preserve">Engage in discussions with departments to understand appetite for VIPs. </w:t>
      </w:r>
    </w:p>
    <w:p w14:paraId="0FFEFF7E" w14:textId="77777777" w:rsidR="00B86440" w:rsidRDefault="00B86440" w:rsidP="00416EA3">
      <w:pPr>
        <w:pStyle w:val="BodyText"/>
        <w:jc w:val="both"/>
      </w:pPr>
      <w:r>
        <w:t>Action Description - Any trials for next academic year would require approval at the January FLTQC</w:t>
      </w:r>
    </w:p>
    <w:p w14:paraId="27EE5868" w14:textId="47B58183" w:rsidR="00B70EE1" w:rsidRDefault="00B86440" w:rsidP="00416EA3">
      <w:pPr>
        <w:pStyle w:val="BodyText"/>
        <w:jc w:val="both"/>
      </w:pPr>
      <w:r>
        <w:t>Action Status - Not Started   |   Due by - 2</w:t>
      </w:r>
      <w:r w:rsidR="00E57914">
        <w:t>5</w:t>
      </w:r>
      <w:r>
        <w:t xml:space="preserve"> </w:t>
      </w:r>
      <w:r w:rsidR="00E57914">
        <w:t>Feb</w:t>
      </w:r>
      <w:r>
        <w:t xml:space="preserve"> 2025   |   Assigned to – All DoTs </w:t>
      </w:r>
    </w:p>
    <w:p w14:paraId="7DC25ABB" w14:textId="77777777" w:rsidR="00B70EE1" w:rsidRDefault="00B70EE1" w:rsidP="00416EA3">
      <w:pPr>
        <w:pStyle w:val="BodyText"/>
        <w:jc w:val="both"/>
      </w:pPr>
    </w:p>
    <w:p w14:paraId="241FA6AE" w14:textId="77777777" w:rsidR="00B70EE1" w:rsidRDefault="00416EA3" w:rsidP="00416EA3">
      <w:pPr>
        <w:pStyle w:val="Heading2"/>
        <w:jc w:val="both"/>
      </w:pPr>
      <w:r>
        <w:t>946.0 Chair's Action</w:t>
      </w:r>
    </w:p>
    <w:p w14:paraId="50BA5692" w14:textId="77777777" w:rsidR="00B70EE1" w:rsidRDefault="00B70EE1" w:rsidP="00416EA3">
      <w:pPr>
        <w:pStyle w:val="HorizontalLine"/>
        <w:jc w:val="both"/>
      </w:pPr>
    </w:p>
    <w:p w14:paraId="2978BEBA" w14:textId="09DA69BB" w:rsidR="00B70EE1" w:rsidRDefault="00416EA3" w:rsidP="00416EA3">
      <w:pPr>
        <w:pStyle w:val="BodyText"/>
        <w:jc w:val="both"/>
      </w:pPr>
      <w:r>
        <w:t>The committee noted all matters approved by Chair's Action.</w:t>
      </w:r>
    </w:p>
    <w:p w14:paraId="1839B5E5" w14:textId="77777777" w:rsidR="00B70EE1" w:rsidRDefault="00B70EE1" w:rsidP="00416EA3">
      <w:pPr>
        <w:pStyle w:val="BodyText"/>
        <w:jc w:val="both"/>
      </w:pPr>
    </w:p>
    <w:p w14:paraId="7903E13D" w14:textId="77777777" w:rsidR="00B70EE1" w:rsidRDefault="00416EA3" w:rsidP="00416EA3">
      <w:pPr>
        <w:pStyle w:val="Heading2"/>
        <w:jc w:val="both"/>
      </w:pPr>
      <w:r>
        <w:t>947.0 Notable Papers from University Committees</w:t>
      </w:r>
    </w:p>
    <w:p w14:paraId="7987370C" w14:textId="77777777" w:rsidR="00B70EE1" w:rsidRDefault="00B70EE1" w:rsidP="00416EA3">
      <w:pPr>
        <w:pStyle w:val="HorizontalLine"/>
        <w:jc w:val="both"/>
      </w:pPr>
    </w:p>
    <w:p w14:paraId="5357BA4C" w14:textId="77777777" w:rsidR="00B70EE1" w:rsidRDefault="00B70EE1" w:rsidP="00416EA3">
      <w:pPr>
        <w:pStyle w:val="BodyText"/>
        <w:jc w:val="both"/>
      </w:pPr>
    </w:p>
    <w:p w14:paraId="6792E806" w14:textId="77777777" w:rsidR="00B70EE1" w:rsidRDefault="00416EA3" w:rsidP="00416EA3">
      <w:pPr>
        <w:pStyle w:val="Heading2"/>
        <w:jc w:val="both"/>
      </w:pPr>
      <w:r>
        <w:t>948.0 Faculty Committee Minutes</w:t>
      </w:r>
    </w:p>
    <w:p w14:paraId="5B46014E" w14:textId="77777777" w:rsidR="00B70EE1" w:rsidRDefault="00B70EE1" w:rsidP="00416EA3">
      <w:pPr>
        <w:pStyle w:val="HorizontalLine"/>
        <w:jc w:val="both"/>
      </w:pPr>
    </w:p>
    <w:p w14:paraId="27ACE35B" w14:textId="77777777" w:rsidR="00B70EE1" w:rsidRDefault="00B70EE1" w:rsidP="00416EA3">
      <w:pPr>
        <w:pStyle w:val="BodyText"/>
        <w:jc w:val="both"/>
      </w:pPr>
    </w:p>
    <w:p w14:paraId="2E9AE19E" w14:textId="77777777" w:rsidR="00B70EE1" w:rsidRDefault="00416EA3" w:rsidP="00416EA3">
      <w:pPr>
        <w:pStyle w:val="Heading2"/>
        <w:jc w:val="both"/>
      </w:pPr>
      <w:r>
        <w:t>949.0 University Committee Minutes</w:t>
      </w:r>
    </w:p>
    <w:p w14:paraId="2F0BED24" w14:textId="77777777" w:rsidR="00B70EE1" w:rsidRDefault="00B70EE1" w:rsidP="00416EA3">
      <w:pPr>
        <w:pStyle w:val="HorizontalLine"/>
        <w:jc w:val="both"/>
      </w:pPr>
    </w:p>
    <w:p w14:paraId="68B93950" w14:textId="24D88EAD" w:rsidR="00B70EE1" w:rsidRDefault="00B86440" w:rsidP="00416EA3">
      <w:pPr>
        <w:widowControl/>
        <w:jc w:val="both"/>
      </w:pPr>
      <w:r>
        <w:lastRenderedPageBreak/>
        <w:br w:type="page"/>
      </w:r>
    </w:p>
    <w:p w14:paraId="3369B170" w14:textId="77777777" w:rsidR="00B70EE1" w:rsidRDefault="00416EA3" w:rsidP="00416EA3">
      <w:pPr>
        <w:pStyle w:val="Heading2"/>
        <w:jc w:val="both"/>
      </w:pPr>
      <w:r>
        <w:lastRenderedPageBreak/>
        <w:t>950.0 Any Other Business</w:t>
      </w:r>
    </w:p>
    <w:p w14:paraId="78C8E3D6" w14:textId="77777777" w:rsidR="00B70EE1" w:rsidRDefault="00B70EE1" w:rsidP="00416EA3">
      <w:pPr>
        <w:pStyle w:val="HorizontalLine"/>
        <w:jc w:val="both"/>
      </w:pPr>
    </w:p>
    <w:p w14:paraId="43A8C321" w14:textId="1B16D99E" w:rsidR="00B70EE1" w:rsidRPr="00B86440" w:rsidRDefault="00416EA3" w:rsidP="00416EA3">
      <w:pPr>
        <w:pStyle w:val="BodyText"/>
        <w:jc w:val="both"/>
        <w:rPr>
          <w:b/>
        </w:rPr>
      </w:pPr>
      <w:r>
        <w:rPr>
          <w:b/>
        </w:rPr>
        <w:t>1. Past papers:</w:t>
      </w:r>
    </w:p>
    <w:p w14:paraId="4BD292F1" w14:textId="22E649CF" w:rsidR="00B70EE1" w:rsidRDefault="00416EA3" w:rsidP="00416EA3">
      <w:pPr>
        <w:pStyle w:val="BodyText"/>
        <w:jc w:val="both"/>
      </w:pPr>
      <w:r>
        <w:t xml:space="preserve">The committee discussed the inconsistent approach across the University to publishing past papers. It was noted that practice across departments varies. Key discussion points included: </w:t>
      </w:r>
    </w:p>
    <w:p w14:paraId="2E4C1861" w14:textId="77AA3E32" w:rsidR="00B70EE1" w:rsidRDefault="00416EA3" w:rsidP="00416EA3">
      <w:pPr>
        <w:pStyle w:val="BodyText"/>
        <w:jc w:val="both"/>
      </w:pPr>
      <w:r>
        <w:t xml:space="preserve">- Common practice for unit conveners to create example answers with grade benchmarks (e.g., 40 and 80) to help students understand grading criteria and </w:t>
      </w:r>
      <w:proofErr w:type="spellStart"/>
      <w:r>
        <w:t>standardise</w:t>
      </w:r>
      <w:proofErr w:type="spellEnd"/>
      <w:r>
        <w:t xml:space="preserve"> marking. However, there is a concern that model answers might discourage creativity by limiting students' unique approaches. The Chair </w:t>
      </w:r>
      <w:proofErr w:type="spellStart"/>
      <w:r>
        <w:t>emphasised</w:t>
      </w:r>
      <w:proofErr w:type="spellEnd"/>
      <w:r>
        <w:t xml:space="preserve"> that model answers do not limit creativity, in fact they provide an opportunity for all students to be more creative. Mode answers are not meant to represent a definitive approach but rather serve as one potential example, with alternative approaches being welcomed. Providing model answers fosters transparency, helping students understand the teacher's expectations while still allowing space for originality.</w:t>
      </w:r>
    </w:p>
    <w:p w14:paraId="71687FC0" w14:textId="5921069D" w:rsidR="00B70EE1" w:rsidRDefault="00416EA3" w:rsidP="00416EA3">
      <w:pPr>
        <w:pStyle w:val="BodyText"/>
        <w:jc w:val="both"/>
      </w:pPr>
      <w:r>
        <w:t>- The difficult of balance, - the more resources provided, such as mock exams or past papers, the more students request additional materials, adding to the lecturers' workload alongside preparing the main exam. It was suggested releasing individual questions with explanations on how they are marked or approached, rather than preparing full mock exams. It was noted that librarians will contact departments to review and update the availability of past exam papers and address any concerns about messaging and wording on the library website.</w:t>
      </w:r>
    </w:p>
    <w:p w14:paraId="50F9D279" w14:textId="77777777" w:rsidR="00B70EE1" w:rsidRDefault="00416EA3" w:rsidP="00416EA3">
      <w:pPr>
        <w:pStyle w:val="BodyText"/>
        <w:jc w:val="both"/>
      </w:pPr>
      <w:r>
        <w:t>- The Education Manager shared that Focus groups from the CT longitudinal study have consistently highlighted students' expectation and request for sample assessment materials as part of the normal teaching and learning cycle. It was suggested that, moving into Year 3, time should be allocated in the workload allocation model (WAMs) for colleagues to prepare sample assessment materials to address the students' feedback and improve the student experience.</w:t>
      </w:r>
    </w:p>
    <w:p w14:paraId="1B0C5130" w14:textId="77777777" w:rsidR="00B70EE1" w:rsidRDefault="00B70EE1" w:rsidP="00416EA3">
      <w:pPr>
        <w:pStyle w:val="BodyText"/>
        <w:spacing w:after="0"/>
        <w:jc w:val="both"/>
      </w:pPr>
    </w:p>
    <w:sectPr w:rsidR="00B70EE1">
      <w:pgSz w:w="11906" w:h="16838"/>
      <w:pgMar w:top="567" w:right="567" w:bottom="567" w:left="1134" w:header="0" w:footer="0" w:gutter="0"/>
      <w:cols w:space="720"/>
      <w:formProt w:val="0"/>
      <w:docGrid w:linePitch="600" w:charSpace="32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u Anh Do" w:date="2025-02-28T08:28:00Z" w:initials="TD">
    <w:p w14:paraId="2A7A6E4E" w14:textId="77777777" w:rsidR="00D87AAB" w:rsidRDefault="00D87AAB" w:rsidP="00D87AAB">
      <w:pPr>
        <w:pStyle w:val="CommentText"/>
      </w:pPr>
      <w:r>
        <w:rPr>
          <w:rStyle w:val="CommentReference"/>
        </w:rPr>
        <w:annotationRef/>
      </w:r>
      <w:r>
        <w:t>Secretary noted this was amended to “</w:t>
      </w:r>
      <w:r>
        <w:rPr>
          <w:color w:val="161B1C"/>
          <w:highlight w:val="yellow"/>
        </w:rPr>
        <w:t>-this was that a guidance sheet for ways to get feedback from students at midterm was being produced and would be circulated for S2.</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7A6E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B85FC7" w16cex:dateUtc="2025-02-2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7A6E4E" w16cid:durableId="71B85F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C27"/>
    <w:multiLevelType w:val="multilevel"/>
    <w:tmpl w:val="53462C7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05C5495"/>
    <w:multiLevelType w:val="multilevel"/>
    <w:tmpl w:val="5D4EDFC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1CD084D"/>
    <w:multiLevelType w:val="multilevel"/>
    <w:tmpl w:val="2C9A61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B63341F"/>
    <w:multiLevelType w:val="multilevel"/>
    <w:tmpl w:val="B0F886F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71300FE9"/>
    <w:multiLevelType w:val="multilevel"/>
    <w:tmpl w:val="209A359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783843443">
    <w:abstractNumId w:val="1"/>
  </w:num>
  <w:num w:numId="2" w16cid:durableId="1033462095">
    <w:abstractNumId w:val="3"/>
  </w:num>
  <w:num w:numId="3" w16cid:durableId="1727726841">
    <w:abstractNumId w:val="0"/>
  </w:num>
  <w:num w:numId="4" w16cid:durableId="2055737159">
    <w:abstractNumId w:val="4"/>
  </w:num>
  <w:num w:numId="5" w16cid:durableId="14957558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 Anh Do">
    <w15:presenceInfo w15:providerId="AD" w15:userId="S::tad65@bath.ac.uk::dcaeff4c-c842-48d7-93b4-0c21b2f49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E1"/>
    <w:rsid w:val="00087901"/>
    <w:rsid w:val="00274B52"/>
    <w:rsid w:val="002D3968"/>
    <w:rsid w:val="00416EA3"/>
    <w:rsid w:val="00816208"/>
    <w:rsid w:val="008B7BA2"/>
    <w:rsid w:val="00B70EE1"/>
    <w:rsid w:val="00B86440"/>
    <w:rsid w:val="00D87AAB"/>
    <w:rsid w:val="00E57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D56E"/>
  <w15:docId w15:val="{F5AB81AC-74AE-411B-BEAC-A05EAF43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customStyle="1" w:styleId="normaltextrun">
    <w:name w:val="normaltextrun"/>
    <w:basedOn w:val="DefaultParagraphFont"/>
    <w:rsid w:val="00B86440"/>
  </w:style>
  <w:style w:type="character" w:customStyle="1" w:styleId="eop">
    <w:name w:val="eop"/>
    <w:basedOn w:val="DefaultParagraphFont"/>
    <w:rsid w:val="00B86440"/>
  </w:style>
  <w:style w:type="character" w:styleId="CommentReference">
    <w:name w:val="annotation reference"/>
    <w:basedOn w:val="DefaultParagraphFont"/>
    <w:uiPriority w:val="99"/>
    <w:semiHidden/>
    <w:unhideWhenUsed/>
    <w:rsid w:val="00D87AAB"/>
    <w:rPr>
      <w:sz w:val="16"/>
      <w:szCs w:val="16"/>
    </w:rPr>
  </w:style>
  <w:style w:type="paragraph" w:styleId="CommentText">
    <w:name w:val="annotation text"/>
    <w:basedOn w:val="Normal"/>
    <w:link w:val="CommentTextChar"/>
    <w:uiPriority w:val="99"/>
    <w:unhideWhenUsed/>
    <w:rsid w:val="00D87AAB"/>
    <w:rPr>
      <w:rFonts w:cs="Mangal"/>
      <w:sz w:val="20"/>
      <w:szCs w:val="18"/>
    </w:rPr>
  </w:style>
  <w:style w:type="character" w:customStyle="1" w:styleId="CommentTextChar">
    <w:name w:val="Comment Text Char"/>
    <w:basedOn w:val="DefaultParagraphFont"/>
    <w:link w:val="CommentText"/>
    <w:uiPriority w:val="99"/>
    <w:rsid w:val="00D87AAB"/>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D87AAB"/>
    <w:rPr>
      <w:b/>
      <w:bCs/>
    </w:rPr>
  </w:style>
  <w:style w:type="character" w:customStyle="1" w:styleId="CommentSubjectChar">
    <w:name w:val="Comment Subject Char"/>
    <w:basedOn w:val="CommentTextChar"/>
    <w:link w:val="CommentSubject"/>
    <w:uiPriority w:val="99"/>
    <w:semiHidden/>
    <w:rsid w:val="00D87AAB"/>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872063">
      <w:bodyDiv w:val="1"/>
      <w:marLeft w:val="0"/>
      <w:marRight w:val="0"/>
      <w:marTop w:val="0"/>
      <w:marBottom w:val="0"/>
      <w:divBdr>
        <w:top w:val="none" w:sz="0" w:space="0" w:color="auto"/>
        <w:left w:val="none" w:sz="0" w:space="0" w:color="auto"/>
        <w:bottom w:val="none" w:sz="0" w:space="0" w:color="auto"/>
        <w:right w:val="none" w:sz="0" w:space="0" w:color="auto"/>
      </w:divBdr>
    </w:div>
    <w:div w:id="85094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4041</Words>
  <Characters>23036</Characters>
  <Application>Microsoft Office Word</Application>
  <DocSecurity>0</DocSecurity>
  <Lines>191</Lines>
  <Paragraphs>54</Paragraphs>
  <ScaleCrop>false</ScaleCrop>
  <Company>University of Bath</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 Anh Do</cp:lastModifiedBy>
  <cp:revision>9</cp:revision>
  <dcterms:created xsi:type="dcterms:W3CDTF">2025-01-01T14:11:00Z</dcterms:created>
  <dcterms:modified xsi:type="dcterms:W3CDTF">2025-02-28T08:28:00Z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