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1AC0" w14:textId="7ED01795" w:rsidR="00820E97" w:rsidRPr="00EF1E3C" w:rsidRDefault="00820E97" w:rsidP="00E33D96">
      <w:pPr>
        <w:pStyle w:val="Heading1"/>
        <w:jc w:val="center"/>
        <w:rPr>
          <w:b/>
          <w:bCs/>
        </w:rPr>
      </w:pPr>
      <w:r w:rsidRPr="00EF1E3C">
        <w:rPr>
          <w:b/>
          <w:bCs/>
        </w:rPr>
        <w:t>Teaching Development Fund (TDF</w:t>
      </w:r>
      <w:r w:rsidR="00E33D96" w:rsidRPr="00EF1E3C">
        <w:rPr>
          <w:b/>
          <w:bCs/>
        </w:rPr>
        <w:t>)</w:t>
      </w:r>
      <w:r w:rsidR="00E02D57" w:rsidRPr="00EF1E3C">
        <w:rPr>
          <w:b/>
          <w:bCs/>
        </w:rPr>
        <w:t xml:space="preserve"> 202</w:t>
      </w:r>
      <w:r w:rsidR="00EC4A5B">
        <w:rPr>
          <w:b/>
          <w:bCs/>
        </w:rPr>
        <w:t>5/26</w:t>
      </w:r>
    </w:p>
    <w:p w14:paraId="3B807A34" w14:textId="4ADCF53B" w:rsidR="00E33D96" w:rsidRDefault="00E33D96" w:rsidP="00E33D96"/>
    <w:p w14:paraId="19CB121A" w14:textId="318B7139" w:rsidR="00E33D96" w:rsidRPr="00357505" w:rsidRDefault="00E02D57" w:rsidP="00E33D96">
      <w:pPr>
        <w:pStyle w:val="Heading2"/>
        <w:jc w:val="center"/>
        <w:rPr>
          <w:b/>
          <w:bCs/>
        </w:rPr>
      </w:pPr>
      <w:r>
        <w:rPr>
          <w:b/>
          <w:bCs/>
        </w:rPr>
        <w:t xml:space="preserve">Guide to costing </w:t>
      </w:r>
      <w:r w:rsidR="00EF1E3C">
        <w:rPr>
          <w:b/>
          <w:bCs/>
        </w:rPr>
        <w:t xml:space="preserve">your </w:t>
      </w:r>
      <w:r>
        <w:rPr>
          <w:b/>
          <w:bCs/>
        </w:rPr>
        <w:t>project proposal</w:t>
      </w:r>
    </w:p>
    <w:p w14:paraId="23F207F1" w14:textId="17276B04" w:rsidR="003B6BB2" w:rsidRDefault="00EC0570" w:rsidP="00357505">
      <w:pPr>
        <w:spacing w:before="100" w:beforeAutospacing="1" w:after="100" w:afterAutospacing="1" w:line="240" w:lineRule="auto"/>
      </w:pPr>
      <w:r>
        <w:rPr>
          <w:noProof/>
        </w:rPr>
        <w:pict w14:anchorId="5E41305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00C7D5C" w14:textId="6CB98361" w:rsidR="00E33D96" w:rsidRDefault="00E33D96" w:rsidP="00357505">
      <w:pPr>
        <w:spacing w:before="100" w:beforeAutospacing="1" w:after="100" w:afterAutospacing="1" w:line="240" w:lineRule="auto"/>
      </w:pPr>
      <w:r>
        <w:t xml:space="preserve">The Teaching Development Fund typically supports expenditure </w:t>
      </w:r>
      <w:r w:rsidR="0024226C">
        <w:t>to:</w:t>
      </w:r>
    </w:p>
    <w:p w14:paraId="2E990733" w14:textId="77D1855C" w:rsidR="00E33D96" w:rsidRDefault="00E33D96" w:rsidP="0035750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</w:pPr>
      <w:r w:rsidRPr="0024226C">
        <w:rPr>
          <w:b/>
          <w:bCs/>
        </w:rPr>
        <w:t>Buy-in staff or student time</w:t>
      </w:r>
      <w:r>
        <w:t xml:space="preserve"> to work on the project. This does not include funding for current full-time staff salaries. However, support to increase the hours of part-time staff will be considered.</w:t>
      </w:r>
      <w:r w:rsidR="0024226C">
        <w:t xml:space="preserve"> Applicants should give serious consideration to the type of work that students would be engaged in and the level of payment commensurate with responsibilities and role. </w:t>
      </w:r>
      <w:r w:rsidR="00EF1E3C">
        <w:t xml:space="preserve">For example: </w:t>
      </w:r>
      <w:r w:rsidR="008E209F">
        <w:t>Do you need someone to help with</w:t>
      </w:r>
      <w:r w:rsidR="00E27D95">
        <w:t xml:space="preserve"> administration/running of workshops or focus groups</w:t>
      </w:r>
      <w:r w:rsidR="008E209F">
        <w:t xml:space="preserve">? Do you need students to undertake </w:t>
      </w:r>
      <w:r w:rsidR="00EF1E3C">
        <w:t xml:space="preserve">any other </w:t>
      </w:r>
      <w:r w:rsidR="008E209F">
        <w:t>activities? Do you need a more experienced research student to work on</w:t>
      </w:r>
      <w:r w:rsidR="00E27D95">
        <w:t xml:space="preserve"> data collection </w:t>
      </w:r>
      <w:r w:rsidR="008E209F">
        <w:t>and evaluation</w:t>
      </w:r>
      <w:r w:rsidR="00921E13">
        <w:t xml:space="preserve"> or to assist with training</w:t>
      </w:r>
      <w:r w:rsidR="008E209F">
        <w:t>?</w:t>
      </w:r>
      <w:r w:rsidR="00E27D95">
        <w:t xml:space="preserve"> </w:t>
      </w:r>
      <w:r w:rsidR="0024226C">
        <w:t xml:space="preserve">Current University of Bath pay rates can be found </w:t>
      </w:r>
      <w:hyperlink r:id="rId7" w:history="1">
        <w:r w:rsidR="0024226C" w:rsidRPr="0024226C">
          <w:rPr>
            <w:rStyle w:val="Hyperlink"/>
          </w:rPr>
          <w:t>he</w:t>
        </w:r>
        <w:r w:rsidR="0024226C" w:rsidRPr="0024226C">
          <w:rPr>
            <w:rStyle w:val="Hyperlink"/>
          </w:rPr>
          <w:t>r</w:t>
        </w:r>
        <w:r w:rsidR="0024226C" w:rsidRPr="0024226C">
          <w:rPr>
            <w:rStyle w:val="Hyperlink"/>
          </w:rPr>
          <w:t>e</w:t>
        </w:r>
      </w:hyperlink>
      <w:r w:rsidR="0024226C">
        <w:t xml:space="preserve">. </w:t>
      </w:r>
      <w:r w:rsidR="00E27D95">
        <w:t>Amounts should be stated in number of hours (hrs) x number of weeks (</w:t>
      </w:r>
      <w:proofErr w:type="spellStart"/>
      <w:r w:rsidR="00E27D95">
        <w:t>wks</w:t>
      </w:r>
      <w:proofErr w:type="spellEnd"/>
      <w:r w:rsidR="00E27D95">
        <w:t>)</w:t>
      </w:r>
    </w:p>
    <w:p w14:paraId="57D29B9F" w14:textId="77777777" w:rsidR="00921E13" w:rsidRDefault="00921E13" w:rsidP="00357505">
      <w:pPr>
        <w:pStyle w:val="ListParagraph"/>
        <w:spacing w:before="100" w:beforeAutospacing="1" w:after="100" w:afterAutospacing="1" w:line="240" w:lineRule="auto"/>
      </w:pPr>
    </w:p>
    <w:p w14:paraId="0FAAE5C6" w14:textId="76052E2A" w:rsidR="00357505" w:rsidRDefault="0024226C" w:rsidP="00357505">
      <w:pPr>
        <w:pStyle w:val="ListParagraph"/>
        <w:numPr>
          <w:ilvl w:val="0"/>
          <w:numId w:val="1"/>
        </w:numPr>
        <w:spacing w:after="100" w:afterAutospacing="1" w:line="240" w:lineRule="auto"/>
      </w:pPr>
      <w:r w:rsidRPr="0024226C">
        <w:rPr>
          <w:b/>
          <w:bCs/>
        </w:rPr>
        <w:t>Fund the hosting of events</w:t>
      </w:r>
      <w:r>
        <w:t>. Typically, these include providing refreshments or venues for student focus groups and staff/student workshops</w:t>
      </w:r>
      <w:r w:rsidR="00E27D95">
        <w:t xml:space="preserve"> or project launch event</w:t>
      </w:r>
      <w:r>
        <w:t xml:space="preserve">. Internal catering and </w:t>
      </w:r>
      <w:r w:rsidR="00EF1E3C">
        <w:t xml:space="preserve">venue </w:t>
      </w:r>
      <w:r>
        <w:t xml:space="preserve">costs can be found </w:t>
      </w:r>
      <w:hyperlink r:id="rId8" w:history="1">
        <w:r w:rsidRPr="0024226C">
          <w:rPr>
            <w:rStyle w:val="Hyperlink"/>
          </w:rPr>
          <w:t>h</w:t>
        </w:r>
        <w:r w:rsidRPr="0024226C">
          <w:rPr>
            <w:rStyle w:val="Hyperlink"/>
          </w:rPr>
          <w:t>e</w:t>
        </w:r>
        <w:r w:rsidRPr="0024226C">
          <w:rPr>
            <w:rStyle w:val="Hyperlink"/>
          </w:rPr>
          <w:t>re</w:t>
        </w:r>
      </w:hyperlink>
      <w:r>
        <w:t>.</w:t>
      </w:r>
      <w:r w:rsidR="00921E13">
        <w:t xml:space="preserve"> </w:t>
      </w:r>
      <w:r w:rsidR="00EF1E3C">
        <w:t xml:space="preserve">These should only be included </w:t>
      </w:r>
      <w:r w:rsidR="00EF1E3C" w:rsidRPr="00EF1E3C">
        <w:rPr>
          <w:rFonts w:eastAsia="Calibri" w:cs="Arial"/>
          <w:lang w:eastAsia="en-GB"/>
        </w:rPr>
        <w:t>where In-Person activities are able to take place</w:t>
      </w:r>
      <w:r w:rsidR="00EF1E3C" w:rsidRPr="00E02D57">
        <w:rPr>
          <w:rFonts w:eastAsia="Calibri" w:cs="Arial"/>
          <w:i/>
          <w:iCs/>
          <w:lang w:eastAsia="en-GB"/>
        </w:rPr>
        <w:t>.</w:t>
      </w:r>
      <w:r w:rsidR="00EF1E3C">
        <w:t xml:space="preserve"> </w:t>
      </w:r>
      <w:r w:rsidR="00921E13">
        <w:t xml:space="preserve">Guest speakers </w:t>
      </w:r>
      <w:r w:rsidR="00EF1E3C">
        <w:t>may</w:t>
      </w:r>
      <w:r w:rsidR="00921E13">
        <w:t xml:space="preserve"> be funded</w:t>
      </w:r>
      <w:r w:rsidR="00EF1E3C">
        <w:t>, where no internal speaker can be found,</w:t>
      </w:r>
      <w:r w:rsidR="00921E13">
        <w:t xml:space="preserve"> but </w:t>
      </w:r>
      <w:r w:rsidR="00EF1E3C">
        <w:t xml:space="preserve">any associated </w:t>
      </w:r>
      <w:r w:rsidR="00921E13">
        <w:t xml:space="preserve">costs should be kept to a minimum. </w:t>
      </w:r>
    </w:p>
    <w:p w14:paraId="2A3D9640" w14:textId="77777777" w:rsidR="00357505" w:rsidRPr="00357505" w:rsidRDefault="00357505" w:rsidP="00357505">
      <w:pPr>
        <w:pStyle w:val="ListParagraph"/>
        <w:rPr>
          <w:b/>
          <w:bCs/>
        </w:rPr>
      </w:pPr>
    </w:p>
    <w:p w14:paraId="5869F4FF" w14:textId="615EDF57" w:rsidR="0024226C" w:rsidRDefault="0024226C" w:rsidP="00357505">
      <w:pPr>
        <w:pStyle w:val="ListParagraph"/>
        <w:numPr>
          <w:ilvl w:val="0"/>
          <w:numId w:val="1"/>
        </w:numPr>
        <w:spacing w:after="100" w:afterAutospacing="1" w:line="240" w:lineRule="auto"/>
      </w:pPr>
      <w:r w:rsidRPr="00357505">
        <w:rPr>
          <w:b/>
          <w:bCs/>
        </w:rPr>
        <w:t xml:space="preserve">Purchase </w:t>
      </w:r>
      <w:r w:rsidR="008E209F" w:rsidRPr="00357505">
        <w:rPr>
          <w:b/>
          <w:bCs/>
        </w:rPr>
        <w:t xml:space="preserve">other </w:t>
      </w:r>
      <w:r w:rsidRPr="00357505">
        <w:rPr>
          <w:b/>
          <w:bCs/>
        </w:rPr>
        <w:t>consumables</w:t>
      </w:r>
      <w:r w:rsidRPr="0024226C">
        <w:t>.</w:t>
      </w:r>
      <w:r>
        <w:t xml:space="preserve"> These may include the purchase of </w:t>
      </w:r>
      <w:r w:rsidR="00921E13">
        <w:t xml:space="preserve">computer </w:t>
      </w:r>
      <w:r>
        <w:t>software</w:t>
      </w:r>
      <w:r w:rsidR="008E209F">
        <w:t xml:space="preserve"> </w:t>
      </w:r>
      <w:r w:rsidR="00921E13">
        <w:t>or other related costs</w:t>
      </w:r>
      <w:r w:rsidR="008E209F">
        <w:t>,</w:t>
      </w:r>
      <w:r>
        <w:t xml:space="preserve"> </w:t>
      </w:r>
      <w:r w:rsidR="008E209F">
        <w:t xml:space="preserve">stock images that can’t be sourced internally, </w:t>
      </w:r>
      <w:r>
        <w:t xml:space="preserve">printing costs (e.g., posters) and student prizes. </w:t>
      </w:r>
    </w:p>
    <w:p w14:paraId="35C9FA64" w14:textId="77777777" w:rsidR="00921E13" w:rsidRDefault="00921E13" w:rsidP="00357505">
      <w:pPr>
        <w:pStyle w:val="ListParagraph"/>
        <w:spacing w:before="100" w:beforeAutospacing="1" w:after="100" w:afterAutospacing="1" w:line="240" w:lineRule="auto"/>
      </w:pPr>
    </w:p>
    <w:p w14:paraId="3C508FA3" w14:textId="11A953CD" w:rsidR="00921E13" w:rsidRDefault="00921E13" w:rsidP="0035750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b/>
          <w:bCs/>
        </w:rPr>
        <w:t xml:space="preserve">Travel </w:t>
      </w:r>
      <w:r>
        <w:t xml:space="preserve">– </w:t>
      </w:r>
      <w:r w:rsidR="001413D0">
        <w:t>You are strongly encouraged to disseminate project outputs at national and international events. If you seek funding to pay for registration fees, please apply separately to the TDF Travel Fund</w:t>
      </w:r>
      <w:r w:rsidR="00EC4A5B">
        <w:t xml:space="preserve"> Share</w:t>
      </w:r>
      <w:r w:rsidR="001413D0">
        <w:t xml:space="preserve">; do not include these costs in your TDF </w:t>
      </w:r>
      <w:r w:rsidR="00E02D57">
        <w:t>Expression of Interest (</w:t>
      </w:r>
      <w:r w:rsidR="001413D0">
        <w:t>EoI</w:t>
      </w:r>
      <w:r w:rsidR="00E02D57">
        <w:t>)</w:t>
      </w:r>
      <w:r w:rsidR="001413D0">
        <w:t xml:space="preserve"> or </w:t>
      </w:r>
      <w:r w:rsidR="00E02D57">
        <w:t>F</w:t>
      </w:r>
      <w:r w:rsidR="001413D0">
        <w:t xml:space="preserve">ull </w:t>
      </w:r>
      <w:r w:rsidR="00E02D57">
        <w:t>B</w:t>
      </w:r>
      <w:r w:rsidR="001413D0">
        <w:t>id</w:t>
      </w:r>
      <w:r w:rsidR="00E02D57">
        <w:t xml:space="preserve"> proposal. </w:t>
      </w:r>
    </w:p>
    <w:p w14:paraId="6BFE0438" w14:textId="4DE6052A" w:rsidR="00921E13" w:rsidRDefault="00921E13" w:rsidP="00921E13">
      <w:pPr>
        <w:spacing w:before="100" w:beforeAutospacing="1" w:after="100" w:afterAutospacing="1" w:line="288" w:lineRule="atLeast"/>
      </w:pPr>
      <w:r>
        <w:t xml:space="preserve">Please note that the TDF </w:t>
      </w:r>
      <w:r w:rsidR="001413D0" w:rsidRPr="00E02D57">
        <w:rPr>
          <w:b/>
          <w:bCs/>
        </w:rPr>
        <w:t>is not able to fund</w:t>
      </w:r>
      <w:r w:rsidR="001413D0">
        <w:t xml:space="preserve"> the following types of expenditure:</w:t>
      </w:r>
    </w:p>
    <w:p w14:paraId="0A9B3C00" w14:textId="6D7DA7B3" w:rsidR="00921E13" w:rsidRDefault="00921E13" w:rsidP="00921E13">
      <w:pPr>
        <w:pStyle w:val="ListParagraph"/>
        <w:numPr>
          <w:ilvl w:val="0"/>
          <w:numId w:val="2"/>
        </w:numPr>
        <w:spacing w:before="100" w:beforeAutospacing="1" w:after="100" w:afterAutospacing="1" w:line="288" w:lineRule="atLeast"/>
      </w:pPr>
      <w:r>
        <w:t xml:space="preserve">Teaching relief or additional </w:t>
      </w:r>
      <w:r w:rsidR="001413D0">
        <w:t xml:space="preserve">full-time equivalent </w:t>
      </w:r>
      <w:r>
        <w:t>for term-time teaching</w:t>
      </w:r>
    </w:p>
    <w:p w14:paraId="3F948E2D" w14:textId="539F6381" w:rsidR="00921E13" w:rsidRDefault="00921E13" w:rsidP="00921E13">
      <w:pPr>
        <w:pStyle w:val="ListParagraph"/>
        <w:numPr>
          <w:ilvl w:val="0"/>
          <w:numId w:val="2"/>
        </w:numPr>
        <w:spacing w:before="100" w:beforeAutospacing="1" w:after="100" w:afterAutospacing="1" w:line="288" w:lineRule="atLeast"/>
      </w:pPr>
      <w:r>
        <w:t>Capital</w:t>
      </w:r>
      <w:r w:rsidR="00357505">
        <w:t xml:space="preserve"> equipment</w:t>
      </w:r>
      <w:r>
        <w:t xml:space="preserve"> </w:t>
      </w:r>
      <w:r w:rsidR="00357505">
        <w:t xml:space="preserve">such as laptops, except where a strong case can be made for equipment that will subsequently </w:t>
      </w:r>
      <w:r w:rsidR="00EF1E3C">
        <w:t xml:space="preserve">be </w:t>
      </w:r>
      <w:r w:rsidR="00357505">
        <w:t>made available to, and benefit</w:t>
      </w:r>
      <w:r w:rsidR="00EF1E3C">
        <w:t>, the University more widely.</w:t>
      </w:r>
    </w:p>
    <w:p w14:paraId="418709F1" w14:textId="77777777" w:rsidR="003B6BB2" w:rsidRDefault="003B6BB2" w:rsidP="003B6BB2"/>
    <w:p w14:paraId="59DA2BB3" w14:textId="1E978B70" w:rsidR="003B6BB2" w:rsidRPr="00EF1E3C" w:rsidRDefault="003B6BB2" w:rsidP="003B6BB2">
      <w:pPr>
        <w:pStyle w:val="Heading1"/>
        <w:jc w:val="center"/>
        <w:rPr>
          <w:b/>
          <w:bCs/>
        </w:rPr>
      </w:pPr>
      <w:r w:rsidRPr="00EF1E3C">
        <w:rPr>
          <w:b/>
          <w:bCs/>
        </w:rPr>
        <w:lastRenderedPageBreak/>
        <w:t>Teaching Development Fund (TDF) 202</w:t>
      </w:r>
      <w:r w:rsidR="00EC4A5B">
        <w:rPr>
          <w:b/>
          <w:bCs/>
        </w:rPr>
        <w:t>5</w:t>
      </w:r>
      <w:r w:rsidRPr="00EF1E3C">
        <w:rPr>
          <w:b/>
          <w:bCs/>
        </w:rPr>
        <w:t>/2</w:t>
      </w:r>
      <w:r w:rsidR="00EC4A5B">
        <w:rPr>
          <w:b/>
          <w:bCs/>
        </w:rPr>
        <w:t>6</w:t>
      </w:r>
    </w:p>
    <w:p w14:paraId="1285CEA8" w14:textId="77777777" w:rsidR="003B6BB2" w:rsidRDefault="003B6BB2" w:rsidP="003B6BB2">
      <w:pPr>
        <w:pStyle w:val="Heading3"/>
        <w:jc w:val="center"/>
        <w:rPr>
          <w:rFonts w:eastAsia="Calibri"/>
          <w:b/>
          <w:bCs/>
          <w:lang w:eastAsia="en-GB"/>
        </w:rPr>
      </w:pPr>
    </w:p>
    <w:p w14:paraId="2E44EC7C" w14:textId="21CB6246" w:rsidR="003B6BB2" w:rsidRPr="001413D0" w:rsidRDefault="003B6BB2" w:rsidP="003B6BB2">
      <w:pPr>
        <w:pStyle w:val="Heading3"/>
        <w:jc w:val="center"/>
        <w:rPr>
          <w:rFonts w:eastAsia="Calibri"/>
          <w:b/>
          <w:bCs/>
          <w:lang w:eastAsia="en-GB"/>
        </w:rPr>
      </w:pPr>
      <w:r w:rsidRPr="001413D0">
        <w:rPr>
          <w:rFonts w:eastAsia="Calibri"/>
          <w:b/>
          <w:bCs/>
          <w:lang w:eastAsia="en-GB"/>
        </w:rPr>
        <w:t>Example costing of a TDF project (</w:t>
      </w:r>
      <w:r>
        <w:rPr>
          <w:rFonts w:eastAsia="Calibri"/>
          <w:b/>
          <w:bCs/>
          <w:lang w:eastAsia="en-GB"/>
        </w:rPr>
        <w:t>F</w:t>
      </w:r>
      <w:r w:rsidRPr="001413D0">
        <w:rPr>
          <w:rFonts w:eastAsia="Calibri"/>
          <w:b/>
          <w:bCs/>
          <w:lang w:eastAsia="en-GB"/>
        </w:rPr>
        <w:t xml:space="preserve">ull </w:t>
      </w:r>
      <w:r>
        <w:rPr>
          <w:rFonts w:eastAsia="Calibri"/>
          <w:b/>
          <w:bCs/>
          <w:lang w:eastAsia="en-GB"/>
        </w:rPr>
        <w:t>B</w:t>
      </w:r>
      <w:r w:rsidRPr="001413D0">
        <w:rPr>
          <w:rFonts w:eastAsia="Calibri"/>
          <w:b/>
          <w:bCs/>
          <w:lang w:eastAsia="en-GB"/>
        </w:rPr>
        <w:t>id</w:t>
      </w:r>
      <w:r>
        <w:rPr>
          <w:rFonts w:eastAsia="Calibri"/>
          <w:b/>
          <w:bCs/>
          <w:lang w:eastAsia="en-GB"/>
        </w:rPr>
        <w:t xml:space="preserve"> stage</w:t>
      </w:r>
      <w:r w:rsidRPr="001413D0">
        <w:rPr>
          <w:rFonts w:eastAsia="Calibri"/>
          <w:b/>
          <w:bCs/>
          <w:lang w:eastAsia="en-GB"/>
        </w:rPr>
        <w:t>)</w:t>
      </w:r>
      <w:r>
        <w:rPr>
          <w:rFonts w:eastAsia="Calibri"/>
          <w:b/>
          <w:bCs/>
          <w:lang w:eastAsia="en-GB"/>
        </w:rPr>
        <w:t>*</w:t>
      </w:r>
    </w:p>
    <w:p w14:paraId="714CAEEE" w14:textId="1B0CC795" w:rsidR="003B6BB2" w:rsidRDefault="00EC0570" w:rsidP="003B6BB2">
      <w:pPr>
        <w:pStyle w:val="Heading3"/>
        <w:jc w:val="center"/>
        <w:rPr>
          <w:rFonts w:eastAsia="Calibri"/>
          <w:b/>
          <w:bCs/>
          <w:lang w:eastAsia="en-GB"/>
        </w:rPr>
      </w:pPr>
      <w:r>
        <w:rPr>
          <w:noProof/>
        </w:rPr>
        <w:pict w14:anchorId="7DAA793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CF70585" w14:textId="77777777" w:rsidR="003B6BB2" w:rsidRDefault="003B6BB2" w:rsidP="001413D0">
      <w:pPr>
        <w:pStyle w:val="Heading3"/>
        <w:rPr>
          <w:rFonts w:eastAsia="Calibri"/>
          <w:b/>
          <w:bCs/>
          <w:lang w:eastAsia="en-GB"/>
        </w:rPr>
      </w:pPr>
    </w:p>
    <w:p w14:paraId="23F94AEB" w14:textId="3ECDA4C1" w:rsidR="00EF1E3C" w:rsidRPr="00EF1E3C" w:rsidRDefault="00EF1E3C" w:rsidP="00EF1E3C">
      <w:pPr>
        <w:spacing w:before="100" w:beforeAutospacing="1" w:after="100" w:afterAutospacing="1" w:line="288" w:lineRule="atLeast"/>
        <w:rPr>
          <w:rFonts w:eastAsia="Calibri" w:cs="Arial"/>
          <w:b/>
          <w:bCs/>
          <w:lang w:eastAsia="en-GB"/>
        </w:rPr>
      </w:pPr>
      <w:r>
        <w:rPr>
          <w:rFonts w:eastAsia="Calibri" w:cs="Arial"/>
          <w:b/>
          <w:lang w:eastAsia="en-GB"/>
        </w:rPr>
        <w:t xml:space="preserve">*Please note that </w:t>
      </w:r>
      <w:r w:rsidRPr="00EF1E3C">
        <w:rPr>
          <w:rFonts w:eastAsia="Calibri" w:cs="Arial"/>
          <w:b/>
          <w:lang w:eastAsia="en-GB"/>
        </w:rPr>
        <w:t xml:space="preserve">University of Bath pay rates may </w:t>
      </w:r>
      <w:r>
        <w:rPr>
          <w:rFonts w:eastAsia="Calibri" w:cs="Arial"/>
          <w:b/>
          <w:lang w:eastAsia="en-GB"/>
        </w:rPr>
        <w:t>vary over time</w:t>
      </w:r>
      <w:r w:rsidRPr="00EF1E3C">
        <w:rPr>
          <w:rFonts w:eastAsia="Calibri" w:cs="Arial"/>
          <w:b/>
          <w:lang w:eastAsia="en-GB"/>
        </w:rPr>
        <w:t xml:space="preserve">. </w:t>
      </w:r>
      <w:r>
        <w:rPr>
          <w:rFonts w:eastAsia="Calibri" w:cs="Arial"/>
          <w:b/>
          <w:lang w:eastAsia="en-GB"/>
        </w:rPr>
        <w:t>C</w:t>
      </w:r>
      <w:r w:rsidRPr="00EF1E3C">
        <w:rPr>
          <w:rFonts w:eastAsia="Calibri" w:cs="Arial"/>
          <w:b/>
          <w:lang w:eastAsia="en-GB"/>
        </w:rPr>
        <w:t xml:space="preserve">heck current pay </w:t>
      </w:r>
      <w:r w:rsidRPr="00EF1E3C">
        <w:rPr>
          <w:b/>
          <w:bCs/>
        </w:rPr>
        <w:t xml:space="preserve">rates </w:t>
      </w:r>
      <w:hyperlink r:id="rId9" w:history="1">
        <w:r w:rsidRPr="00EF1E3C">
          <w:rPr>
            <w:rStyle w:val="Hyperlink"/>
            <w:b/>
            <w:bCs/>
          </w:rPr>
          <w:t>here</w:t>
        </w:r>
      </w:hyperlink>
      <w:r w:rsidRPr="00EF1E3C">
        <w:rPr>
          <w:b/>
          <w:bCs/>
        </w:rPr>
        <w:t>.</w:t>
      </w:r>
    </w:p>
    <w:p w14:paraId="7281D7A2" w14:textId="2C892265" w:rsidR="00820E97" w:rsidRDefault="00820E97" w:rsidP="00820E97">
      <w:pPr>
        <w:spacing w:before="100" w:beforeAutospacing="1" w:after="100" w:afterAutospacing="1" w:line="288" w:lineRule="atLeast"/>
        <w:rPr>
          <w:rFonts w:eastAsia="Calibri" w:cs="Arial"/>
          <w:i/>
          <w:iCs/>
          <w:lang w:eastAsia="en-GB"/>
        </w:rPr>
      </w:pPr>
      <w:r w:rsidRPr="001A2671">
        <w:rPr>
          <w:rFonts w:eastAsia="Calibri" w:cs="Arial"/>
          <w:b/>
          <w:i/>
          <w:iCs/>
          <w:lang w:eastAsia="en-GB"/>
        </w:rPr>
        <w:t xml:space="preserve">Costs </w:t>
      </w:r>
      <w:r w:rsidRPr="001A2671">
        <w:rPr>
          <w:rFonts w:eastAsia="Calibri" w:cs="Arial"/>
          <w:i/>
          <w:iCs/>
          <w:lang w:eastAsia="en-GB"/>
        </w:rPr>
        <w:t>(</w:t>
      </w:r>
      <w:r w:rsidR="001413D0">
        <w:rPr>
          <w:rFonts w:eastAsia="Calibri" w:cs="Arial"/>
          <w:i/>
          <w:iCs/>
          <w:lang w:eastAsia="en-GB"/>
        </w:rPr>
        <w:t xml:space="preserve">please </w:t>
      </w:r>
      <w:r w:rsidRPr="001A2671">
        <w:rPr>
          <w:rFonts w:eastAsia="Calibri" w:cs="Arial"/>
          <w:i/>
          <w:iCs/>
          <w:lang w:eastAsia="en-GB"/>
        </w:rPr>
        <w:t>provide a detailed breakdown of the costs and how funds intend to be used in a tabular format)</w:t>
      </w:r>
    </w:p>
    <w:p w14:paraId="2359F85E" w14:textId="26298738" w:rsidR="008E209F" w:rsidRPr="008E209F" w:rsidRDefault="008E209F" w:rsidP="00820E97">
      <w:pPr>
        <w:spacing w:before="100" w:beforeAutospacing="1" w:after="100" w:afterAutospacing="1" w:line="288" w:lineRule="atLeast"/>
        <w:rPr>
          <w:rFonts w:eastAsia="Calibri" w:cs="Arial"/>
          <w:b/>
          <w:bCs/>
          <w:color w:val="FF0000"/>
          <w:lang w:eastAsia="en-GB"/>
        </w:rPr>
      </w:pPr>
      <w:r w:rsidRPr="008E209F">
        <w:rPr>
          <w:rFonts w:eastAsia="Calibri" w:cs="Arial"/>
          <w:b/>
          <w:bCs/>
          <w:color w:val="FF0000"/>
          <w:lang w:eastAsia="en-GB"/>
        </w:rPr>
        <w:t xml:space="preserve">Online </w:t>
      </w:r>
      <w:r w:rsidR="00E02D57">
        <w:rPr>
          <w:rFonts w:eastAsia="Calibri" w:cs="Arial"/>
          <w:b/>
          <w:bCs/>
          <w:color w:val="FF0000"/>
          <w:lang w:eastAsia="en-GB"/>
        </w:rPr>
        <w:t>research and feedback a</w:t>
      </w:r>
      <w:r w:rsidRPr="008E209F">
        <w:rPr>
          <w:rFonts w:eastAsia="Calibri" w:cs="Arial"/>
          <w:b/>
          <w:bCs/>
          <w:color w:val="FF0000"/>
          <w:lang w:eastAsia="en-GB"/>
        </w:rPr>
        <w:t>ctivity</w:t>
      </w:r>
    </w:p>
    <w:tbl>
      <w:tblPr>
        <w:tblStyle w:val="TableGrid"/>
        <w:tblW w:w="9077" w:type="dxa"/>
        <w:tblLook w:val="04A0" w:firstRow="1" w:lastRow="0" w:firstColumn="1" w:lastColumn="0" w:noHBand="0" w:noVBand="1"/>
      </w:tblPr>
      <w:tblGrid>
        <w:gridCol w:w="2730"/>
        <w:gridCol w:w="1265"/>
        <w:gridCol w:w="1842"/>
        <w:gridCol w:w="2025"/>
        <w:gridCol w:w="1215"/>
      </w:tblGrid>
      <w:tr w:rsidR="008E209F" w14:paraId="021B964F" w14:textId="77777777" w:rsidTr="00CC0CC0">
        <w:tc>
          <w:tcPr>
            <w:tcW w:w="2730" w:type="dxa"/>
          </w:tcPr>
          <w:p w14:paraId="39A31A6E" w14:textId="77777777" w:rsidR="008E209F" w:rsidRDefault="008E209F" w:rsidP="00CC0CC0">
            <w:pPr>
              <w:spacing w:beforeAutospacing="1" w:afterAutospacing="1" w:line="288" w:lineRule="atLeast"/>
              <w:rPr>
                <w:rFonts w:eastAsia="Calibri" w:cs="Arial"/>
                <w:b/>
                <w:bCs/>
                <w:lang w:eastAsia="en-GB"/>
              </w:rPr>
            </w:pPr>
            <w:r w:rsidRPr="41C501C7">
              <w:rPr>
                <w:rFonts w:eastAsia="Calibri" w:cs="Arial"/>
                <w:b/>
                <w:bCs/>
                <w:lang w:eastAsia="en-GB"/>
              </w:rPr>
              <w:t>Activity</w:t>
            </w:r>
          </w:p>
        </w:tc>
        <w:tc>
          <w:tcPr>
            <w:tcW w:w="1265" w:type="dxa"/>
          </w:tcPr>
          <w:p w14:paraId="4139BE82" w14:textId="77777777" w:rsidR="008E209F" w:rsidRDefault="008E209F" w:rsidP="00CC0CC0">
            <w:pPr>
              <w:spacing w:beforeAutospacing="1" w:afterAutospacing="1" w:line="288" w:lineRule="atLeast"/>
              <w:rPr>
                <w:rFonts w:eastAsia="Calibri" w:cs="Arial"/>
                <w:b/>
                <w:bCs/>
                <w:lang w:eastAsia="en-GB"/>
              </w:rPr>
            </w:pPr>
            <w:r w:rsidRPr="41C501C7">
              <w:rPr>
                <w:rFonts w:eastAsia="Calibri" w:cs="Arial"/>
                <w:b/>
                <w:bCs/>
                <w:lang w:eastAsia="en-GB"/>
              </w:rPr>
              <w:t>Number students</w:t>
            </w:r>
          </w:p>
        </w:tc>
        <w:tc>
          <w:tcPr>
            <w:tcW w:w="1842" w:type="dxa"/>
          </w:tcPr>
          <w:p w14:paraId="5F4E652E" w14:textId="77777777" w:rsidR="008E209F" w:rsidRDefault="008E209F" w:rsidP="00CC0CC0">
            <w:pPr>
              <w:spacing w:beforeAutospacing="1" w:afterAutospacing="1" w:line="288" w:lineRule="atLeast"/>
              <w:rPr>
                <w:rFonts w:eastAsia="Calibri" w:cs="Arial"/>
                <w:b/>
                <w:bCs/>
                <w:lang w:eastAsia="en-GB"/>
              </w:rPr>
            </w:pPr>
            <w:r w:rsidRPr="41C501C7">
              <w:rPr>
                <w:rFonts w:eastAsia="Calibri" w:cs="Arial"/>
                <w:b/>
                <w:bCs/>
                <w:lang w:eastAsia="en-GB"/>
              </w:rPr>
              <w:t>Time Allocation</w:t>
            </w:r>
          </w:p>
        </w:tc>
        <w:tc>
          <w:tcPr>
            <w:tcW w:w="2025" w:type="dxa"/>
          </w:tcPr>
          <w:p w14:paraId="5D8C7B63" w14:textId="77777777" w:rsidR="008E209F" w:rsidRDefault="008E209F" w:rsidP="00CC0CC0">
            <w:pPr>
              <w:spacing w:beforeAutospacing="1" w:afterAutospacing="1" w:line="288" w:lineRule="atLeast"/>
              <w:rPr>
                <w:rFonts w:eastAsia="Calibri" w:cs="Arial"/>
                <w:b/>
                <w:bCs/>
                <w:lang w:eastAsia="en-GB"/>
              </w:rPr>
            </w:pPr>
            <w:r w:rsidRPr="41C501C7">
              <w:rPr>
                <w:rFonts w:eastAsia="Calibri" w:cs="Arial"/>
                <w:b/>
                <w:bCs/>
                <w:lang w:eastAsia="en-GB"/>
              </w:rPr>
              <w:t>Rate of pay</w:t>
            </w:r>
          </w:p>
        </w:tc>
        <w:tc>
          <w:tcPr>
            <w:tcW w:w="1215" w:type="dxa"/>
          </w:tcPr>
          <w:p w14:paraId="71667175" w14:textId="77777777" w:rsidR="008E209F" w:rsidRDefault="008E209F" w:rsidP="00CC0CC0">
            <w:pPr>
              <w:spacing w:beforeAutospacing="1" w:afterAutospacing="1" w:line="288" w:lineRule="atLeast"/>
              <w:rPr>
                <w:rFonts w:eastAsia="Calibri" w:cs="Arial"/>
                <w:b/>
                <w:bCs/>
                <w:lang w:eastAsia="en-GB"/>
              </w:rPr>
            </w:pPr>
            <w:r w:rsidRPr="41C501C7">
              <w:rPr>
                <w:rFonts w:eastAsia="Calibri" w:cs="Arial"/>
                <w:b/>
                <w:bCs/>
                <w:lang w:eastAsia="en-GB"/>
              </w:rPr>
              <w:t>Cost</w:t>
            </w:r>
          </w:p>
        </w:tc>
      </w:tr>
      <w:tr w:rsidR="008E209F" w14:paraId="660D7983" w14:textId="77777777" w:rsidTr="00CC0CC0">
        <w:tc>
          <w:tcPr>
            <w:tcW w:w="2730" w:type="dxa"/>
          </w:tcPr>
          <w:p w14:paraId="77621177" w14:textId="49486B01" w:rsidR="008E209F" w:rsidRPr="008E209F" w:rsidRDefault="008E209F" w:rsidP="00CC0CC0">
            <w:pPr>
              <w:spacing w:beforeAutospacing="1" w:afterAutospacing="1" w:line="288" w:lineRule="atLeast"/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 xml:space="preserve">Summer </w:t>
            </w:r>
            <w:r w:rsidR="003B6BB2">
              <w:rPr>
                <w:rFonts w:eastAsia="Calibri" w:cs="Arial"/>
                <w:lang w:eastAsia="en-GB"/>
              </w:rPr>
              <w:t>placement</w:t>
            </w:r>
            <w:r w:rsidRPr="008E209F">
              <w:rPr>
                <w:rFonts w:eastAsia="Calibri" w:cs="Arial"/>
                <w:lang w:eastAsia="en-GB"/>
              </w:rPr>
              <w:t xml:space="preserve"> </w:t>
            </w:r>
          </w:p>
        </w:tc>
        <w:tc>
          <w:tcPr>
            <w:tcW w:w="1265" w:type="dxa"/>
          </w:tcPr>
          <w:p w14:paraId="0844E7FD" w14:textId="77777777" w:rsidR="008E209F" w:rsidRPr="008E209F" w:rsidRDefault="008E209F" w:rsidP="00CC0CC0">
            <w:pPr>
              <w:spacing w:beforeAutospacing="1" w:afterAutospacing="1" w:line="288" w:lineRule="atLeast"/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5 students</w:t>
            </w:r>
          </w:p>
        </w:tc>
        <w:tc>
          <w:tcPr>
            <w:tcW w:w="1842" w:type="dxa"/>
          </w:tcPr>
          <w:p w14:paraId="568492BA" w14:textId="354F010B" w:rsidR="008E209F" w:rsidRPr="008E209F" w:rsidRDefault="008E209F" w:rsidP="00CC0CC0">
            <w:pPr>
              <w:spacing w:beforeAutospacing="1" w:afterAutospacing="1" w:line="288" w:lineRule="atLeast"/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4</w:t>
            </w:r>
            <w:r w:rsidR="003B6BB2">
              <w:rPr>
                <w:rFonts w:eastAsia="Calibri" w:cs="Arial"/>
                <w:lang w:eastAsia="en-GB"/>
              </w:rPr>
              <w:t xml:space="preserve"> </w:t>
            </w:r>
            <w:r w:rsidRPr="008E209F">
              <w:rPr>
                <w:rFonts w:eastAsia="Calibri" w:cs="Arial"/>
                <w:lang w:eastAsia="en-GB"/>
              </w:rPr>
              <w:t>weeks @20 hours per week</w:t>
            </w:r>
          </w:p>
        </w:tc>
        <w:tc>
          <w:tcPr>
            <w:tcW w:w="2025" w:type="dxa"/>
          </w:tcPr>
          <w:p w14:paraId="36FDBDCA" w14:textId="019FD67F" w:rsidR="008E209F" w:rsidRPr="008E209F" w:rsidRDefault="008E209F" w:rsidP="00CC0CC0">
            <w:pPr>
              <w:spacing w:beforeAutospacing="1" w:afterAutospacing="1" w:line="288" w:lineRule="atLeast"/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CW3: £1</w:t>
            </w:r>
            <w:r w:rsidR="00EC4A5B">
              <w:rPr>
                <w:rFonts w:eastAsia="Calibri" w:cs="Arial"/>
                <w:lang w:eastAsia="en-GB"/>
              </w:rPr>
              <w:t>4</w:t>
            </w:r>
            <w:r w:rsidRPr="008E209F">
              <w:rPr>
                <w:rFonts w:eastAsia="Calibri" w:cs="Arial"/>
                <w:lang w:eastAsia="en-GB"/>
              </w:rPr>
              <w:t>.</w:t>
            </w:r>
            <w:r w:rsidR="00EC4A5B">
              <w:rPr>
                <w:rFonts w:eastAsia="Calibri" w:cs="Arial"/>
                <w:lang w:eastAsia="en-GB"/>
              </w:rPr>
              <w:t>47</w:t>
            </w:r>
          </w:p>
        </w:tc>
        <w:tc>
          <w:tcPr>
            <w:tcW w:w="1215" w:type="dxa"/>
          </w:tcPr>
          <w:p w14:paraId="3F66CE84" w14:textId="3E07F02D" w:rsidR="008E209F" w:rsidRPr="008E209F" w:rsidRDefault="008E209F" w:rsidP="00CC0CC0">
            <w:pPr>
              <w:spacing w:beforeAutospacing="1" w:afterAutospacing="1" w:line="288" w:lineRule="atLeast"/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£</w:t>
            </w:r>
            <w:r w:rsidR="00EC4A5B">
              <w:rPr>
                <w:rFonts w:eastAsia="Calibri" w:cs="Arial"/>
                <w:lang w:eastAsia="en-GB"/>
              </w:rPr>
              <w:t>5788</w:t>
            </w:r>
            <w:r w:rsidRPr="008E209F">
              <w:rPr>
                <w:rFonts w:eastAsia="Calibri" w:cs="Arial"/>
                <w:lang w:eastAsia="en-GB"/>
              </w:rPr>
              <w:t>.00</w:t>
            </w:r>
          </w:p>
        </w:tc>
      </w:tr>
      <w:tr w:rsidR="008E209F" w14:paraId="23CCEEA0" w14:textId="77777777" w:rsidTr="00CC0CC0">
        <w:tc>
          <w:tcPr>
            <w:tcW w:w="2730" w:type="dxa"/>
          </w:tcPr>
          <w:p w14:paraId="2DFB9572" w14:textId="77777777" w:rsidR="008E209F" w:rsidRPr="008E209F" w:rsidRDefault="008E209F" w:rsidP="00CC0CC0">
            <w:pPr>
              <w:spacing w:beforeAutospacing="1" w:afterAutospacing="1" w:line="288" w:lineRule="atLeast"/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Student feedback researchers</w:t>
            </w:r>
          </w:p>
        </w:tc>
        <w:tc>
          <w:tcPr>
            <w:tcW w:w="1265" w:type="dxa"/>
          </w:tcPr>
          <w:p w14:paraId="27A0FDBF" w14:textId="77777777" w:rsidR="008E209F" w:rsidRPr="008E209F" w:rsidRDefault="008E209F" w:rsidP="00CC0CC0">
            <w:pPr>
              <w:spacing w:beforeAutospacing="1" w:afterAutospacing="1" w:line="288" w:lineRule="atLeast"/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2 (working as a pair)</w:t>
            </w:r>
          </w:p>
        </w:tc>
        <w:tc>
          <w:tcPr>
            <w:tcW w:w="1842" w:type="dxa"/>
          </w:tcPr>
          <w:p w14:paraId="66335F3A" w14:textId="4B9EFE84" w:rsidR="008E209F" w:rsidRPr="008E209F" w:rsidRDefault="008E209F" w:rsidP="00CC0CC0">
            <w:pPr>
              <w:spacing w:beforeAutospacing="1" w:afterAutospacing="1" w:line="288" w:lineRule="atLeast"/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 xml:space="preserve">2 student researchers </w:t>
            </w:r>
            <w:r w:rsidR="003B6BB2">
              <w:rPr>
                <w:rFonts w:eastAsia="Calibri" w:cs="Arial"/>
                <w:lang w:eastAsia="en-GB"/>
              </w:rPr>
              <w:t xml:space="preserve"> x </w:t>
            </w:r>
            <w:r w:rsidRPr="008E209F">
              <w:rPr>
                <w:rFonts w:eastAsia="Calibri" w:cs="Arial"/>
                <w:lang w:eastAsia="en-GB"/>
              </w:rPr>
              <w:t>10 hours</w:t>
            </w:r>
          </w:p>
        </w:tc>
        <w:tc>
          <w:tcPr>
            <w:tcW w:w="2025" w:type="dxa"/>
          </w:tcPr>
          <w:p w14:paraId="5BD921EA" w14:textId="0029A0C4" w:rsidR="008E209F" w:rsidRPr="008E209F" w:rsidRDefault="008E209F" w:rsidP="00CC0CC0">
            <w:pPr>
              <w:spacing w:beforeAutospacing="1" w:afterAutospacing="1" w:line="288" w:lineRule="atLeast"/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CW6: £1</w:t>
            </w:r>
            <w:r w:rsidR="00EC4A5B">
              <w:rPr>
                <w:rFonts w:eastAsia="Calibri" w:cs="Arial"/>
                <w:lang w:eastAsia="en-GB"/>
              </w:rPr>
              <w:t>8.45</w:t>
            </w:r>
          </w:p>
        </w:tc>
        <w:tc>
          <w:tcPr>
            <w:tcW w:w="1215" w:type="dxa"/>
          </w:tcPr>
          <w:p w14:paraId="33F6F2CA" w14:textId="5E900D2D" w:rsidR="008E209F" w:rsidRPr="008E209F" w:rsidRDefault="008E209F" w:rsidP="00CC0CC0">
            <w:pPr>
              <w:spacing w:beforeAutospacing="1" w:afterAutospacing="1" w:line="288" w:lineRule="atLeast"/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£</w:t>
            </w:r>
            <w:r w:rsidR="00EC4A5B">
              <w:rPr>
                <w:rFonts w:eastAsia="Calibri" w:cs="Arial"/>
                <w:lang w:eastAsia="en-GB"/>
              </w:rPr>
              <w:t>369.00</w:t>
            </w:r>
          </w:p>
        </w:tc>
      </w:tr>
      <w:tr w:rsidR="008E209F" w14:paraId="4B2DC7FB" w14:textId="77777777" w:rsidTr="00CC0CC0">
        <w:tc>
          <w:tcPr>
            <w:tcW w:w="2730" w:type="dxa"/>
          </w:tcPr>
          <w:p w14:paraId="07EB2F4B" w14:textId="7A3DF0E2" w:rsidR="008E209F" w:rsidRPr="008E209F" w:rsidRDefault="008E209F" w:rsidP="00CC0CC0">
            <w:pPr>
              <w:spacing w:beforeAutospacing="1" w:afterAutospacing="1" w:line="288" w:lineRule="atLeast"/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 xml:space="preserve">Students undertaking analysis of feedback </w:t>
            </w:r>
          </w:p>
        </w:tc>
        <w:tc>
          <w:tcPr>
            <w:tcW w:w="1265" w:type="dxa"/>
          </w:tcPr>
          <w:p w14:paraId="64820871" w14:textId="77777777" w:rsidR="008E209F" w:rsidRPr="008E209F" w:rsidRDefault="008E209F" w:rsidP="00CC0CC0">
            <w:pPr>
              <w:spacing w:beforeAutospacing="1" w:afterAutospacing="1" w:line="288" w:lineRule="atLeast"/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2 students</w:t>
            </w:r>
          </w:p>
        </w:tc>
        <w:tc>
          <w:tcPr>
            <w:tcW w:w="1842" w:type="dxa"/>
          </w:tcPr>
          <w:p w14:paraId="6B8AB9BB" w14:textId="32E7CF0D" w:rsidR="008E209F" w:rsidRPr="008E209F" w:rsidRDefault="008E209F" w:rsidP="00CC0CC0">
            <w:pPr>
              <w:spacing w:beforeAutospacing="1" w:afterAutospacing="1" w:line="288" w:lineRule="atLeast"/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2x15</w:t>
            </w:r>
            <w:r w:rsidR="003B6BB2">
              <w:rPr>
                <w:rFonts w:eastAsia="Calibri" w:cs="Arial"/>
                <w:lang w:eastAsia="en-GB"/>
              </w:rPr>
              <w:t xml:space="preserve"> </w:t>
            </w:r>
            <w:r w:rsidRPr="008E209F">
              <w:rPr>
                <w:rFonts w:eastAsia="Calibri" w:cs="Arial"/>
                <w:lang w:eastAsia="en-GB"/>
              </w:rPr>
              <w:t>hours</w:t>
            </w:r>
          </w:p>
        </w:tc>
        <w:tc>
          <w:tcPr>
            <w:tcW w:w="2025" w:type="dxa"/>
          </w:tcPr>
          <w:p w14:paraId="44041D3D" w14:textId="0D942F00" w:rsidR="008E209F" w:rsidRPr="008E209F" w:rsidRDefault="008E209F" w:rsidP="00CC0CC0">
            <w:pPr>
              <w:spacing w:beforeAutospacing="1" w:afterAutospacing="1" w:line="288" w:lineRule="atLeast"/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CW6: £1</w:t>
            </w:r>
            <w:r w:rsidR="00EC4A5B">
              <w:rPr>
                <w:rFonts w:eastAsia="Calibri" w:cs="Arial"/>
                <w:lang w:eastAsia="en-GB"/>
              </w:rPr>
              <w:t>8.45</w:t>
            </w:r>
          </w:p>
        </w:tc>
        <w:tc>
          <w:tcPr>
            <w:tcW w:w="1215" w:type="dxa"/>
          </w:tcPr>
          <w:p w14:paraId="6CE292FC" w14:textId="24BDE4DE" w:rsidR="008E209F" w:rsidRPr="008E209F" w:rsidRDefault="008E209F" w:rsidP="00CC0CC0">
            <w:pPr>
              <w:spacing w:beforeAutospacing="1" w:afterAutospacing="1" w:line="288" w:lineRule="atLeast"/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£</w:t>
            </w:r>
            <w:r w:rsidR="00EC4A5B">
              <w:rPr>
                <w:rFonts w:eastAsia="Calibri" w:cs="Arial"/>
                <w:lang w:eastAsia="en-GB"/>
              </w:rPr>
              <w:t>553.50</w:t>
            </w:r>
          </w:p>
        </w:tc>
      </w:tr>
    </w:tbl>
    <w:p w14:paraId="1601654F" w14:textId="4315DCAD" w:rsidR="008E209F" w:rsidRDefault="008E209F" w:rsidP="008E209F">
      <w:pPr>
        <w:spacing w:before="100" w:beforeAutospacing="1" w:after="100" w:afterAutospacing="1" w:line="288" w:lineRule="atLeast"/>
        <w:rPr>
          <w:rFonts w:eastAsia="Calibri" w:cs="Arial"/>
          <w:b/>
          <w:bCs/>
          <w:lang w:eastAsia="en-GB"/>
        </w:rPr>
      </w:pPr>
      <w:r w:rsidRPr="07F1E1B6">
        <w:rPr>
          <w:rFonts w:eastAsia="Calibri" w:cs="Arial"/>
          <w:b/>
          <w:bCs/>
          <w:lang w:eastAsia="en-GB"/>
        </w:rPr>
        <w:t xml:space="preserve">                                                                                                           </w:t>
      </w:r>
      <w:r>
        <w:rPr>
          <w:rFonts w:eastAsia="Calibri" w:cs="Arial"/>
          <w:b/>
          <w:bCs/>
          <w:lang w:eastAsia="en-GB"/>
        </w:rPr>
        <w:tab/>
      </w:r>
      <w:r>
        <w:rPr>
          <w:rFonts w:eastAsia="Calibri" w:cs="Arial"/>
          <w:b/>
          <w:bCs/>
          <w:lang w:eastAsia="en-GB"/>
        </w:rPr>
        <w:tab/>
      </w:r>
      <w:r w:rsidRPr="07F1E1B6">
        <w:rPr>
          <w:rFonts w:eastAsia="Calibri" w:cs="Arial"/>
          <w:b/>
          <w:bCs/>
          <w:lang w:eastAsia="en-GB"/>
        </w:rPr>
        <w:t xml:space="preserve">   Sub-Total = £</w:t>
      </w:r>
      <w:r w:rsidR="00EC4A5B">
        <w:rPr>
          <w:rFonts w:eastAsia="Calibri" w:cs="Arial"/>
          <w:b/>
          <w:bCs/>
          <w:lang w:eastAsia="en-GB"/>
        </w:rPr>
        <w:t>6710.50</w:t>
      </w:r>
    </w:p>
    <w:p w14:paraId="365DBA88" w14:textId="4D8879BE" w:rsidR="008E209F" w:rsidRPr="008E209F" w:rsidRDefault="00EF1E3C" w:rsidP="008E209F">
      <w:pPr>
        <w:spacing w:before="100" w:beforeAutospacing="1" w:after="100" w:afterAutospacing="1" w:line="288" w:lineRule="atLeast"/>
        <w:rPr>
          <w:rFonts w:eastAsia="Calibri" w:cs="Arial"/>
          <w:b/>
          <w:bCs/>
          <w:color w:val="FF0000"/>
          <w:lang w:eastAsia="en-GB"/>
        </w:rPr>
      </w:pPr>
      <w:r>
        <w:rPr>
          <w:rFonts w:eastAsia="Calibri" w:cs="Arial"/>
          <w:b/>
          <w:bCs/>
          <w:color w:val="FF0000"/>
          <w:lang w:eastAsia="en-GB"/>
        </w:rPr>
        <w:t>Workshops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205"/>
        <w:gridCol w:w="1485"/>
        <w:gridCol w:w="2569"/>
        <w:gridCol w:w="1599"/>
        <w:gridCol w:w="1124"/>
      </w:tblGrid>
      <w:tr w:rsidR="008E209F" w:rsidRPr="00793D8F" w14:paraId="50366D2B" w14:textId="77777777" w:rsidTr="00CC0CC0">
        <w:tc>
          <w:tcPr>
            <w:tcW w:w="2205" w:type="dxa"/>
          </w:tcPr>
          <w:p w14:paraId="0E83FF0F" w14:textId="77777777" w:rsidR="008E209F" w:rsidRPr="00793D8F" w:rsidRDefault="008E209F" w:rsidP="00CC0CC0">
            <w:pPr>
              <w:rPr>
                <w:rFonts w:eastAsia="Calibri" w:cs="Arial"/>
                <w:b/>
                <w:bCs/>
                <w:lang w:eastAsia="en-GB"/>
              </w:rPr>
            </w:pPr>
            <w:r w:rsidRPr="00793D8F">
              <w:rPr>
                <w:rFonts w:eastAsia="Calibri" w:cs="Arial"/>
                <w:b/>
                <w:bCs/>
                <w:lang w:eastAsia="en-GB"/>
              </w:rPr>
              <w:t>Activity</w:t>
            </w:r>
          </w:p>
        </w:tc>
        <w:tc>
          <w:tcPr>
            <w:tcW w:w="1485" w:type="dxa"/>
          </w:tcPr>
          <w:p w14:paraId="78DC8CC8" w14:textId="77777777" w:rsidR="008E209F" w:rsidRPr="00793D8F" w:rsidRDefault="008E209F" w:rsidP="00CC0CC0">
            <w:pPr>
              <w:rPr>
                <w:rFonts w:eastAsia="Calibri" w:cs="Arial"/>
                <w:b/>
                <w:bCs/>
                <w:lang w:eastAsia="en-GB"/>
              </w:rPr>
            </w:pPr>
            <w:r w:rsidRPr="00793D8F">
              <w:rPr>
                <w:rFonts w:eastAsia="Calibri" w:cs="Arial"/>
                <w:b/>
                <w:bCs/>
                <w:lang w:eastAsia="en-GB"/>
              </w:rPr>
              <w:t>Number students</w:t>
            </w:r>
          </w:p>
        </w:tc>
        <w:tc>
          <w:tcPr>
            <w:tcW w:w="2569" w:type="dxa"/>
          </w:tcPr>
          <w:p w14:paraId="4011C68C" w14:textId="77777777" w:rsidR="008E209F" w:rsidRPr="00793D8F" w:rsidRDefault="008E209F" w:rsidP="00CC0CC0">
            <w:pPr>
              <w:rPr>
                <w:rFonts w:eastAsia="Calibri" w:cs="Arial"/>
                <w:b/>
                <w:bCs/>
                <w:lang w:eastAsia="en-GB"/>
              </w:rPr>
            </w:pPr>
            <w:r w:rsidRPr="00793D8F">
              <w:rPr>
                <w:rFonts w:eastAsia="Calibri" w:cs="Arial"/>
                <w:b/>
                <w:bCs/>
                <w:lang w:eastAsia="en-GB"/>
              </w:rPr>
              <w:t>Time allocation/ cost details</w:t>
            </w:r>
          </w:p>
        </w:tc>
        <w:tc>
          <w:tcPr>
            <w:tcW w:w="1599" w:type="dxa"/>
          </w:tcPr>
          <w:p w14:paraId="04FAC64D" w14:textId="77777777" w:rsidR="008E209F" w:rsidRPr="00793D8F" w:rsidRDefault="008E209F" w:rsidP="00CC0CC0">
            <w:pPr>
              <w:rPr>
                <w:rFonts w:eastAsia="Calibri" w:cs="Arial"/>
                <w:b/>
                <w:bCs/>
                <w:lang w:eastAsia="en-GB"/>
              </w:rPr>
            </w:pPr>
            <w:r w:rsidRPr="00793D8F">
              <w:rPr>
                <w:rFonts w:eastAsia="Calibri" w:cs="Arial"/>
                <w:b/>
                <w:bCs/>
                <w:lang w:eastAsia="en-GB"/>
              </w:rPr>
              <w:t>Rate of pay</w:t>
            </w:r>
          </w:p>
        </w:tc>
        <w:tc>
          <w:tcPr>
            <w:tcW w:w="1124" w:type="dxa"/>
          </w:tcPr>
          <w:p w14:paraId="2396187E" w14:textId="77777777" w:rsidR="008E209F" w:rsidRPr="00793D8F" w:rsidRDefault="008E209F" w:rsidP="00CC0CC0">
            <w:pPr>
              <w:rPr>
                <w:rFonts w:eastAsia="Calibri" w:cs="Arial"/>
                <w:b/>
                <w:bCs/>
                <w:lang w:eastAsia="en-GB"/>
              </w:rPr>
            </w:pPr>
            <w:r w:rsidRPr="00793D8F">
              <w:rPr>
                <w:rFonts w:eastAsia="Calibri" w:cs="Arial"/>
                <w:b/>
                <w:bCs/>
                <w:lang w:eastAsia="en-GB"/>
              </w:rPr>
              <w:t>Cost</w:t>
            </w:r>
          </w:p>
        </w:tc>
      </w:tr>
      <w:tr w:rsidR="008E209F" w:rsidRPr="00793D8F" w14:paraId="12AF352B" w14:textId="77777777" w:rsidTr="00CC0CC0">
        <w:tc>
          <w:tcPr>
            <w:tcW w:w="2205" w:type="dxa"/>
          </w:tcPr>
          <w:p w14:paraId="5306EAD4" w14:textId="208FB9DE" w:rsidR="008E209F" w:rsidRPr="008E209F" w:rsidRDefault="008E209F" w:rsidP="00CC0CC0">
            <w:pPr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Workshop participation</w:t>
            </w:r>
            <w:r w:rsidR="00E02D57">
              <w:rPr>
                <w:rFonts w:eastAsia="Calibri" w:cs="Arial"/>
                <w:lang w:eastAsia="en-GB"/>
              </w:rPr>
              <w:t>*</w:t>
            </w:r>
          </w:p>
        </w:tc>
        <w:tc>
          <w:tcPr>
            <w:tcW w:w="1485" w:type="dxa"/>
          </w:tcPr>
          <w:p w14:paraId="4B6BA98C" w14:textId="77777777" w:rsidR="008E209F" w:rsidRPr="008E209F" w:rsidRDefault="008E209F" w:rsidP="00CC0CC0">
            <w:pPr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24</w:t>
            </w:r>
          </w:p>
        </w:tc>
        <w:tc>
          <w:tcPr>
            <w:tcW w:w="2569" w:type="dxa"/>
          </w:tcPr>
          <w:p w14:paraId="7C54343A" w14:textId="77777777" w:rsidR="008E209F" w:rsidRPr="008E209F" w:rsidRDefault="008E209F" w:rsidP="00CC0CC0">
            <w:pPr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Refreshments at 4 workshops</w:t>
            </w:r>
          </w:p>
        </w:tc>
        <w:tc>
          <w:tcPr>
            <w:tcW w:w="1599" w:type="dxa"/>
          </w:tcPr>
          <w:p w14:paraId="45648324" w14:textId="77777777" w:rsidR="008E209F" w:rsidRPr="008E209F" w:rsidRDefault="008E209F" w:rsidP="00CC0CC0">
            <w:pPr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£3.5 per head per session</w:t>
            </w:r>
          </w:p>
        </w:tc>
        <w:tc>
          <w:tcPr>
            <w:tcW w:w="1124" w:type="dxa"/>
          </w:tcPr>
          <w:p w14:paraId="3C07CF79" w14:textId="77777777" w:rsidR="008E209F" w:rsidRPr="008E209F" w:rsidRDefault="008E209F" w:rsidP="00CC0CC0">
            <w:pPr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£336</w:t>
            </w:r>
          </w:p>
        </w:tc>
      </w:tr>
      <w:tr w:rsidR="008E209F" w:rsidRPr="00793D8F" w14:paraId="12D42760" w14:textId="77777777" w:rsidTr="00CC0CC0">
        <w:tc>
          <w:tcPr>
            <w:tcW w:w="2205" w:type="dxa"/>
          </w:tcPr>
          <w:p w14:paraId="66976EC9" w14:textId="26633AF2" w:rsidR="008E209F" w:rsidRPr="008E209F" w:rsidRDefault="008E209F" w:rsidP="00CC0CC0">
            <w:pPr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Student researchers to run workshops</w:t>
            </w:r>
          </w:p>
        </w:tc>
        <w:tc>
          <w:tcPr>
            <w:tcW w:w="1485" w:type="dxa"/>
          </w:tcPr>
          <w:p w14:paraId="5A820FC0" w14:textId="7C0D7569" w:rsidR="008E209F" w:rsidRPr="008E209F" w:rsidRDefault="008E209F" w:rsidP="00CC0CC0">
            <w:pPr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4 (</w:t>
            </w:r>
            <w:r w:rsidR="003B6BB2">
              <w:rPr>
                <w:rFonts w:eastAsia="Calibri" w:cs="Arial"/>
                <w:lang w:eastAsia="en-GB"/>
              </w:rPr>
              <w:t>working in pairs of two</w:t>
            </w:r>
            <w:r w:rsidRPr="008E209F">
              <w:rPr>
                <w:rFonts w:eastAsia="Calibri" w:cs="Arial"/>
                <w:lang w:eastAsia="en-GB"/>
              </w:rPr>
              <w:t>)</w:t>
            </w:r>
          </w:p>
        </w:tc>
        <w:tc>
          <w:tcPr>
            <w:tcW w:w="2569" w:type="dxa"/>
          </w:tcPr>
          <w:p w14:paraId="4AA326D2" w14:textId="77777777" w:rsidR="008E209F" w:rsidRPr="008E209F" w:rsidRDefault="008E209F" w:rsidP="00CC0CC0">
            <w:pPr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8 hours delivery; 8 hours training; 2 hours debrief; 2 hours focus group participation</w:t>
            </w:r>
          </w:p>
        </w:tc>
        <w:tc>
          <w:tcPr>
            <w:tcW w:w="1599" w:type="dxa"/>
          </w:tcPr>
          <w:p w14:paraId="7015199B" w14:textId="0EEFAAF5" w:rsidR="008E209F" w:rsidRPr="008E209F" w:rsidRDefault="008E209F" w:rsidP="00CC0CC0">
            <w:pPr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 xml:space="preserve">Cw6: </w:t>
            </w:r>
            <w:r w:rsidRPr="008E209F">
              <w:t>£</w:t>
            </w:r>
            <w:r w:rsidR="00EC4A5B">
              <w:t>18.45</w:t>
            </w:r>
          </w:p>
        </w:tc>
        <w:tc>
          <w:tcPr>
            <w:tcW w:w="1124" w:type="dxa"/>
          </w:tcPr>
          <w:p w14:paraId="74844EE9" w14:textId="1E4A4609" w:rsidR="008E209F" w:rsidRPr="008E209F" w:rsidRDefault="008E209F" w:rsidP="00CC0CC0">
            <w:pPr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£</w:t>
            </w:r>
            <w:r w:rsidR="00EC4A5B">
              <w:rPr>
                <w:rFonts w:eastAsia="Calibri" w:cs="Arial"/>
                <w:lang w:eastAsia="en-GB"/>
              </w:rPr>
              <w:t>1476.00</w:t>
            </w:r>
          </w:p>
        </w:tc>
      </w:tr>
      <w:tr w:rsidR="008E209F" w:rsidRPr="00793D8F" w14:paraId="59B0C646" w14:textId="77777777" w:rsidTr="00CC0CC0">
        <w:tc>
          <w:tcPr>
            <w:tcW w:w="2205" w:type="dxa"/>
          </w:tcPr>
          <w:p w14:paraId="6FF7428C" w14:textId="77777777" w:rsidR="008E209F" w:rsidRPr="008E209F" w:rsidRDefault="008E209F" w:rsidP="00CC0CC0">
            <w:pPr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Student feedback researchers</w:t>
            </w:r>
          </w:p>
        </w:tc>
        <w:tc>
          <w:tcPr>
            <w:tcW w:w="1485" w:type="dxa"/>
          </w:tcPr>
          <w:p w14:paraId="7BC0E94B" w14:textId="465B395C" w:rsidR="008E209F" w:rsidRPr="008E209F" w:rsidRDefault="008E209F" w:rsidP="00CC0CC0">
            <w:pPr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2</w:t>
            </w:r>
            <w:r w:rsidR="003B6BB2">
              <w:rPr>
                <w:rFonts w:eastAsia="Calibri" w:cs="Arial"/>
                <w:lang w:eastAsia="en-GB"/>
              </w:rPr>
              <w:t xml:space="preserve"> </w:t>
            </w:r>
            <w:r w:rsidRPr="008E209F">
              <w:rPr>
                <w:rFonts w:eastAsia="Calibri" w:cs="Arial"/>
                <w:lang w:eastAsia="en-GB"/>
              </w:rPr>
              <w:t>(working as a pair)</w:t>
            </w:r>
          </w:p>
        </w:tc>
        <w:tc>
          <w:tcPr>
            <w:tcW w:w="2569" w:type="dxa"/>
          </w:tcPr>
          <w:p w14:paraId="32C2ECF1" w14:textId="129A5929" w:rsidR="008E209F" w:rsidRPr="008E209F" w:rsidRDefault="008E209F" w:rsidP="00CC0CC0">
            <w:pPr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 xml:space="preserve">2 student researchers </w:t>
            </w:r>
            <w:r w:rsidR="003B6BB2">
              <w:rPr>
                <w:rFonts w:eastAsia="Calibri" w:cs="Arial"/>
                <w:lang w:eastAsia="en-GB"/>
              </w:rPr>
              <w:t>x</w:t>
            </w:r>
            <w:r w:rsidRPr="008E209F">
              <w:rPr>
                <w:rFonts w:eastAsia="Calibri" w:cs="Arial"/>
                <w:lang w:eastAsia="en-GB"/>
              </w:rPr>
              <w:t xml:space="preserve"> 10 hours</w:t>
            </w:r>
          </w:p>
        </w:tc>
        <w:tc>
          <w:tcPr>
            <w:tcW w:w="1599" w:type="dxa"/>
          </w:tcPr>
          <w:p w14:paraId="7B08956A" w14:textId="2AB55B04" w:rsidR="008E209F" w:rsidRPr="008E209F" w:rsidRDefault="008E209F" w:rsidP="00CC0CC0">
            <w:pPr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CW6: £</w:t>
            </w:r>
            <w:r w:rsidR="00EC4A5B">
              <w:rPr>
                <w:rFonts w:eastAsia="Calibri" w:cs="Arial"/>
                <w:lang w:eastAsia="en-GB"/>
              </w:rPr>
              <w:t>18.45</w:t>
            </w:r>
          </w:p>
        </w:tc>
        <w:tc>
          <w:tcPr>
            <w:tcW w:w="1124" w:type="dxa"/>
          </w:tcPr>
          <w:p w14:paraId="135908BC" w14:textId="057CD40C" w:rsidR="008E209F" w:rsidRPr="008E209F" w:rsidRDefault="008E209F" w:rsidP="00CC0CC0">
            <w:pPr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£</w:t>
            </w:r>
            <w:r w:rsidR="00EC4A5B">
              <w:rPr>
                <w:rFonts w:eastAsia="Calibri" w:cs="Arial"/>
                <w:lang w:eastAsia="en-GB"/>
              </w:rPr>
              <w:t>369.00</w:t>
            </w:r>
          </w:p>
        </w:tc>
      </w:tr>
      <w:tr w:rsidR="008E209F" w:rsidRPr="00793D8F" w14:paraId="07F2B7B3" w14:textId="77777777" w:rsidTr="00CC0CC0">
        <w:tc>
          <w:tcPr>
            <w:tcW w:w="2205" w:type="dxa"/>
          </w:tcPr>
          <w:p w14:paraId="6DB34B30" w14:textId="44DA3F1B" w:rsidR="008E209F" w:rsidRPr="008E209F" w:rsidRDefault="008E209F" w:rsidP="00CC0CC0">
            <w:pPr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Refreshments for focus group activity</w:t>
            </w:r>
            <w:r w:rsidR="00E02D57">
              <w:rPr>
                <w:rFonts w:eastAsia="Calibri" w:cs="Arial"/>
                <w:lang w:eastAsia="en-GB"/>
              </w:rPr>
              <w:t>*</w:t>
            </w:r>
          </w:p>
        </w:tc>
        <w:tc>
          <w:tcPr>
            <w:tcW w:w="1485" w:type="dxa"/>
          </w:tcPr>
          <w:p w14:paraId="12584F86" w14:textId="77777777" w:rsidR="008E209F" w:rsidRPr="008E209F" w:rsidRDefault="008E209F" w:rsidP="00CC0CC0">
            <w:pPr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24 attendees</w:t>
            </w:r>
          </w:p>
        </w:tc>
        <w:tc>
          <w:tcPr>
            <w:tcW w:w="2569" w:type="dxa"/>
          </w:tcPr>
          <w:p w14:paraId="60EF8E7C" w14:textId="77777777" w:rsidR="008E209F" w:rsidRPr="008E209F" w:rsidRDefault="008E209F" w:rsidP="00CC0CC0">
            <w:pPr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Refreshments</w:t>
            </w:r>
          </w:p>
        </w:tc>
        <w:tc>
          <w:tcPr>
            <w:tcW w:w="1599" w:type="dxa"/>
          </w:tcPr>
          <w:p w14:paraId="613A1DD6" w14:textId="77777777" w:rsidR="008E209F" w:rsidRPr="008E209F" w:rsidRDefault="008E209F" w:rsidP="00CC0CC0">
            <w:pPr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£3.50 per head</w:t>
            </w:r>
          </w:p>
        </w:tc>
        <w:tc>
          <w:tcPr>
            <w:tcW w:w="1124" w:type="dxa"/>
          </w:tcPr>
          <w:p w14:paraId="0D977F13" w14:textId="77777777" w:rsidR="008E209F" w:rsidRPr="008E209F" w:rsidRDefault="008E209F" w:rsidP="00CC0CC0">
            <w:pPr>
              <w:rPr>
                <w:rFonts w:eastAsia="Calibri" w:cs="Arial"/>
                <w:lang w:eastAsia="en-GB"/>
              </w:rPr>
            </w:pPr>
            <w:r w:rsidRPr="008E209F">
              <w:rPr>
                <w:rFonts w:eastAsia="Calibri" w:cs="Arial"/>
                <w:lang w:eastAsia="en-GB"/>
              </w:rPr>
              <w:t>£84</w:t>
            </w:r>
          </w:p>
        </w:tc>
      </w:tr>
      <w:tr w:rsidR="00EC4A5B" w:rsidRPr="00793D8F" w14:paraId="71CDA864" w14:textId="77777777" w:rsidTr="00CC0CC0">
        <w:tc>
          <w:tcPr>
            <w:tcW w:w="2205" w:type="dxa"/>
          </w:tcPr>
          <w:p w14:paraId="63766AA5" w14:textId="7C9230EC" w:rsidR="00EC4A5B" w:rsidRPr="00E02D57" w:rsidRDefault="00EC4A5B" w:rsidP="00E02D57">
            <w:pPr>
              <w:rPr>
                <w:rFonts w:eastAsia="Calibri" w:cs="Arial"/>
                <w:i/>
                <w:iCs/>
                <w:lang w:eastAsia="en-GB"/>
              </w:rPr>
            </w:pPr>
            <w:r>
              <w:rPr>
                <w:rFonts w:eastAsia="Calibri" w:cs="Arial"/>
                <w:i/>
                <w:iCs/>
                <w:lang w:eastAsia="en-GB"/>
              </w:rPr>
              <w:t xml:space="preserve">Student focus group </w:t>
            </w:r>
          </w:p>
        </w:tc>
        <w:tc>
          <w:tcPr>
            <w:tcW w:w="1485" w:type="dxa"/>
          </w:tcPr>
          <w:p w14:paraId="50E62990" w14:textId="737DD813" w:rsidR="00EC4A5B" w:rsidRPr="008E209F" w:rsidRDefault="00EC4A5B" w:rsidP="00CC0CC0">
            <w:pPr>
              <w:rPr>
                <w:rFonts w:eastAsia="Calibri" w:cs="Arial"/>
                <w:lang w:eastAsia="en-GB"/>
              </w:rPr>
            </w:pPr>
            <w:r>
              <w:rPr>
                <w:rFonts w:eastAsia="Calibri" w:cs="Arial"/>
                <w:lang w:eastAsia="en-GB"/>
              </w:rPr>
              <w:t>24 attendees</w:t>
            </w:r>
          </w:p>
        </w:tc>
        <w:tc>
          <w:tcPr>
            <w:tcW w:w="2569" w:type="dxa"/>
          </w:tcPr>
          <w:p w14:paraId="28D54930" w14:textId="0F4E2304" w:rsidR="00EC4A5B" w:rsidRPr="008E209F" w:rsidRDefault="00EC4A5B" w:rsidP="00CC0CC0">
            <w:pPr>
              <w:rPr>
                <w:rFonts w:eastAsia="Calibri" w:cs="Arial"/>
                <w:lang w:eastAsia="en-GB"/>
              </w:rPr>
            </w:pPr>
            <w:r>
              <w:rPr>
                <w:rFonts w:eastAsia="Calibri" w:cs="Arial"/>
                <w:lang w:eastAsia="en-GB"/>
              </w:rPr>
              <w:t>24 x Amazon Vouchers</w:t>
            </w:r>
          </w:p>
        </w:tc>
        <w:tc>
          <w:tcPr>
            <w:tcW w:w="1599" w:type="dxa"/>
          </w:tcPr>
          <w:p w14:paraId="1965820B" w14:textId="2BCF37F0" w:rsidR="00EC4A5B" w:rsidRPr="008E209F" w:rsidRDefault="00EC4A5B" w:rsidP="00CC0CC0">
            <w:pPr>
              <w:rPr>
                <w:rFonts w:eastAsia="Calibri" w:cs="Arial"/>
                <w:lang w:eastAsia="en-GB"/>
              </w:rPr>
            </w:pPr>
            <w:r>
              <w:rPr>
                <w:rFonts w:eastAsia="Calibri" w:cs="Arial"/>
                <w:lang w:eastAsia="en-GB"/>
              </w:rPr>
              <w:t>£10.00 per person</w:t>
            </w:r>
          </w:p>
        </w:tc>
        <w:tc>
          <w:tcPr>
            <w:tcW w:w="1124" w:type="dxa"/>
          </w:tcPr>
          <w:p w14:paraId="663A9E09" w14:textId="72952EB6" w:rsidR="00EC4A5B" w:rsidRPr="008E209F" w:rsidRDefault="00EC4A5B" w:rsidP="00CC0CC0">
            <w:pPr>
              <w:rPr>
                <w:rFonts w:eastAsia="Calibri" w:cs="Arial"/>
                <w:lang w:eastAsia="en-GB"/>
              </w:rPr>
            </w:pPr>
            <w:r>
              <w:rPr>
                <w:rFonts w:eastAsia="Calibri" w:cs="Arial"/>
                <w:lang w:eastAsia="en-GB"/>
              </w:rPr>
              <w:t>£240.00</w:t>
            </w:r>
          </w:p>
        </w:tc>
      </w:tr>
      <w:tr w:rsidR="00EC4A5B" w:rsidRPr="00793D8F" w14:paraId="22E21AF8" w14:textId="77777777" w:rsidTr="00EC4A5B">
        <w:tblPrEx>
          <w:tblLook w:val="04A0" w:firstRow="1" w:lastRow="0" w:firstColumn="1" w:lastColumn="0" w:noHBand="0" w:noVBand="1"/>
        </w:tblPrEx>
        <w:tc>
          <w:tcPr>
            <w:tcW w:w="2205" w:type="dxa"/>
          </w:tcPr>
          <w:p w14:paraId="13D9B287" w14:textId="77777777" w:rsidR="00EC4A5B" w:rsidRPr="00E02D57" w:rsidRDefault="00EC4A5B" w:rsidP="008E1301">
            <w:pPr>
              <w:rPr>
                <w:rFonts w:eastAsia="Calibri" w:cs="Arial"/>
                <w:i/>
                <w:iCs/>
                <w:lang w:eastAsia="en-GB"/>
              </w:rPr>
            </w:pPr>
            <w:r w:rsidRPr="00E02D57">
              <w:rPr>
                <w:rFonts w:eastAsia="Calibri" w:cs="Arial"/>
                <w:i/>
                <w:iCs/>
                <w:lang w:eastAsia="en-GB"/>
              </w:rPr>
              <w:t>*</w:t>
            </w:r>
            <w:proofErr w:type="gramStart"/>
            <w:r>
              <w:rPr>
                <w:rFonts w:eastAsia="Calibri" w:cs="Arial"/>
                <w:i/>
                <w:iCs/>
                <w:lang w:eastAsia="en-GB"/>
              </w:rPr>
              <w:t>refreshment</w:t>
            </w:r>
            <w:proofErr w:type="gramEnd"/>
            <w:r>
              <w:rPr>
                <w:rFonts w:eastAsia="Calibri" w:cs="Arial"/>
                <w:i/>
                <w:iCs/>
                <w:lang w:eastAsia="en-GB"/>
              </w:rPr>
              <w:t xml:space="preserve"> and any venue costs are only applicable </w:t>
            </w:r>
            <w:r w:rsidRPr="00E02D57">
              <w:rPr>
                <w:rFonts w:eastAsia="Calibri" w:cs="Arial"/>
                <w:i/>
                <w:iCs/>
                <w:lang w:eastAsia="en-GB"/>
              </w:rPr>
              <w:t xml:space="preserve">where In-Person activities </w:t>
            </w:r>
            <w:proofErr w:type="gramStart"/>
            <w:r w:rsidRPr="00E02D57">
              <w:rPr>
                <w:rFonts w:eastAsia="Calibri" w:cs="Arial"/>
                <w:i/>
                <w:iCs/>
                <w:lang w:eastAsia="en-GB"/>
              </w:rPr>
              <w:t>are able to</w:t>
            </w:r>
            <w:proofErr w:type="gramEnd"/>
            <w:r w:rsidRPr="00E02D57">
              <w:rPr>
                <w:rFonts w:eastAsia="Calibri" w:cs="Arial"/>
                <w:i/>
                <w:iCs/>
                <w:lang w:eastAsia="en-GB"/>
              </w:rPr>
              <w:t xml:space="preserve"> take place.</w:t>
            </w:r>
          </w:p>
        </w:tc>
        <w:tc>
          <w:tcPr>
            <w:tcW w:w="1485" w:type="dxa"/>
          </w:tcPr>
          <w:p w14:paraId="21A2B0A6" w14:textId="77777777" w:rsidR="00EC4A5B" w:rsidRPr="008E209F" w:rsidRDefault="00EC4A5B" w:rsidP="008E1301">
            <w:pPr>
              <w:rPr>
                <w:rFonts w:eastAsia="Calibri" w:cs="Arial"/>
                <w:lang w:eastAsia="en-GB"/>
              </w:rPr>
            </w:pPr>
          </w:p>
        </w:tc>
        <w:tc>
          <w:tcPr>
            <w:tcW w:w="2569" w:type="dxa"/>
          </w:tcPr>
          <w:p w14:paraId="795F8E58" w14:textId="77777777" w:rsidR="00EC4A5B" w:rsidRPr="008E209F" w:rsidRDefault="00EC4A5B" w:rsidP="008E1301">
            <w:pPr>
              <w:rPr>
                <w:rFonts w:eastAsia="Calibri" w:cs="Arial"/>
                <w:lang w:eastAsia="en-GB"/>
              </w:rPr>
            </w:pPr>
          </w:p>
        </w:tc>
        <w:tc>
          <w:tcPr>
            <w:tcW w:w="1599" w:type="dxa"/>
          </w:tcPr>
          <w:p w14:paraId="61E4AF17" w14:textId="77777777" w:rsidR="00EC4A5B" w:rsidRPr="008E209F" w:rsidRDefault="00EC4A5B" w:rsidP="008E1301">
            <w:pPr>
              <w:rPr>
                <w:rFonts w:eastAsia="Calibri" w:cs="Arial"/>
                <w:lang w:eastAsia="en-GB"/>
              </w:rPr>
            </w:pPr>
          </w:p>
        </w:tc>
        <w:tc>
          <w:tcPr>
            <w:tcW w:w="1124" w:type="dxa"/>
          </w:tcPr>
          <w:p w14:paraId="1D1DFF91" w14:textId="77777777" w:rsidR="00EC4A5B" w:rsidRPr="008E209F" w:rsidRDefault="00EC4A5B" w:rsidP="008E1301">
            <w:pPr>
              <w:rPr>
                <w:rFonts w:eastAsia="Calibri" w:cs="Arial"/>
                <w:lang w:eastAsia="en-GB"/>
              </w:rPr>
            </w:pPr>
          </w:p>
        </w:tc>
      </w:tr>
    </w:tbl>
    <w:p w14:paraId="2A4379D4" w14:textId="6D8DC5AB" w:rsidR="008E209F" w:rsidRPr="00793D8F" w:rsidRDefault="008E209F" w:rsidP="008E209F">
      <w:pPr>
        <w:spacing w:before="100" w:beforeAutospacing="1" w:after="100" w:afterAutospacing="1" w:line="288" w:lineRule="atLeast"/>
        <w:jc w:val="right"/>
        <w:rPr>
          <w:b/>
          <w:bCs/>
        </w:rPr>
      </w:pPr>
      <w:r w:rsidRPr="07F1E1B6">
        <w:rPr>
          <w:b/>
          <w:bCs/>
        </w:rPr>
        <w:t>Sub-Total = £</w:t>
      </w:r>
      <w:r w:rsidR="00EC4A5B">
        <w:rPr>
          <w:b/>
          <w:bCs/>
        </w:rPr>
        <w:t>2505.00</w:t>
      </w:r>
    </w:p>
    <w:p w14:paraId="25D00D83" w14:textId="00B41E28" w:rsidR="008E209F" w:rsidRPr="00820E97" w:rsidRDefault="008E209F" w:rsidP="001413D0">
      <w:pPr>
        <w:spacing w:before="100" w:beforeAutospacing="1" w:after="100" w:afterAutospacing="1" w:line="288" w:lineRule="atLeast"/>
        <w:ind w:left="7200"/>
        <w:rPr>
          <w:rFonts w:eastAsia="Calibri" w:cs="Arial"/>
          <w:i/>
          <w:iCs/>
          <w:lang w:eastAsia="en-GB"/>
        </w:rPr>
      </w:pPr>
      <w:r w:rsidRPr="07F1E1B6">
        <w:rPr>
          <w:b/>
          <w:bCs/>
          <w:lang w:val="en-US"/>
        </w:rPr>
        <w:lastRenderedPageBreak/>
        <w:t xml:space="preserve">Total: </w:t>
      </w:r>
      <w:r w:rsidR="00EC4A5B">
        <w:rPr>
          <w:b/>
          <w:bCs/>
          <w:lang w:val="en-US"/>
        </w:rPr>
        <w:t>£9215.50</w:t>
      </w:r>
    </w:p>
    <w:sectPr w:rsidR="008E209F" w:rsidRPr="00820E9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3F162" w14:textId="77777777" w:rsidR="00EC0570" w:rsidRDefault="00EC0570" w:rsidP="003B6BB2">
      <w:pPr>
        <w:spacing w:after="0" w:line="240" w:lineRule="auto"/>
      </w:pPr>
      <w:r>
        <w:separator/>
      </w:r>
    </w:p>
  </w:endnote>
  <w:endnote w:type="continuationSeparator" w:id="0">
    <w:p w14:paraId="6FB636F6" w14:textId="77777777" w:rsidR="00EC0570" w:rsidRDefault="00EC0570" w:rsidP="003B6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1088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FF4862" w14:textId="7FF14697" w:rsidR="003B6BB2" w:rsidRDefault="003B6BB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– TDF costing guide</w:t>
        </w:r>
        <w:r>
          <w:rPr>
            <w:noProof/>
          </w:rPr>
          <w:tab/>
        </w:r>
        <w:r>
          <w:rPr>
            <w:noProof/>
          </w:rPr>
          <w:tab/>
        </w:r>
        <w:r w:rsidR="00EC4A5B">
          <w:rPr>
            <w:noProof/>
          </w:rPr>
          <w:t>September 2025</w:t>
        </w:r>
      </w:p>
    </w:sdtContent>
  </w:sdt>
  <w:p w14:paraId="31351DF6" w14:textId="77777777" w:rsidR="003B6BB2" w:rsidRDefault="003B6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098D9" w14:textId="77777777" w:rsidR="00EC0570" w:rsidRDefault="00EC0570" w:rsidP="003B6BB2">
      <w:pPr>
        <w:spacing w:after="0" w:line="240" w:lineRule="auto"/>
      </w:pPr>
      <w:r>
        <w:separator/>
      </w:r>
    </w:p>
  </w:footnote>
  <w:footnote w:type="continuationSeparator" w:id="0">
    <w:p w14:paraId="646E27BE" w14:textId="77777777" w:rsidR="00EC0570" w:rsidRDefault="00EC0570" w:rsidP="003B6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3D43"/>
    <w:multiLevelType w:val="hybridMultilevel"/>
    <w:tmpl w:val="6A9AF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D10CA"/>
    <w:multiLevelType w:val="hybridMultilevel"/>
    <w:tmpl w:val="09463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14CBC"/>
    <w:multiLevelType w:val="hybridMultilevel"/>
    <w:tmpl w:val="52167C38"/>
    <w:lvl w:ilvl="0" w:tplc="C42C76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87BE8"/>
    <w:multiLevelType w:val="hybridMultilevel"/>
    <w:tmpl w:val="0D2EEBB2"/>
    <w:lvl w:ilvl="0" w:tplc="F6A6F84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239076">
    <w:abstractNumId w:val="0"/>
  </w:num>
  <w:num w:numId="2" w16cid:durableId="889459138">
    <w:abstractNumId w:val="1"/>
  </w:num>
  <w:num w:numId="3" w16cid:durableId="1239438236">
    <w:abstractNumId w:val="3"/>
  </w:num>
  <w:num w:numId="4" w16cid:durableId="1035810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30"/>
    <w:rsid w:val="001413D0"/>
    <w:rsid w:val="0024226C"/>
    <w:rsid w:val="00357505"/>
    <w:rsid w:val="00366530"/>
    <w:rsid w:val="003B6BB2"/>
    <w:rsid w:val="00432E8E"/>
    <w:rsid w:val="00820E97"/>
    <w:rsid w:val="00894F1B"/>
    <w:rsid w:val="008E209F"/>
    <w:rsid w:val="00921E13"/>
    <w:rsid w:val="00C67166"/>
    <w:rsid w:val="00E02D57"/>
    <w:rsid w:val="00E27D95"/>
    <w:rsid w:val="00E33D96"/>
    <w:rsid w:val="00EC0570"/>
    <w:rsid w:val="00EC4A5B"/>
    <w:rsid w:val="00EF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97EE8"/>
  <w15:chartTrackingRefBased/>
  <w15:docId w15:val="{F9F0E420-DB8C-4CD3-9CA9-1C9077DC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E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D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13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820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33D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33D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22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2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209F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E209F"/>
    <w:rPr>
      <w:rFonts w:ascii="Arial" w:eastAsia="MS Mincho" w:hAnsi="Arial" w:cs="Times New Roman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413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F1E3C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B6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professional-services/conferences-even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th.ac.uk/publications/rates-of-pay-for-hourly-paid-worke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ath.ac.uk/publications/rates-of-pay-for-hourly-paid-work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Teaching Development Fund (TDF) 2020/21</vt:lpstr>
      <vt:lpstr>    Guide to costing your project proposal</vt:lpstr>
      <vt:lpstr>        Example costing of a TDF project (Full Bid stage)*</vt:lpstr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Watts</dc:creator>
  <cp:keywords/>
  <dc:description/>
  <cp:lastModifiedBy>Stephanie Kamffer</cp:lastModifiedBy>
  <cp:revision>2</cp:revision>
  <dcterms:created xsi:type="dcterms:W3CDTF">2025-09-30T14:58:00Z</dcterms:created>
  <dcterms:modified xsi:type="dcterms:W3CDTF">2025-09-30T14:58:00Z</dcterms:modified>
</cp:coreProperties>
</file>