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16050" w14:textId="3C29C8E3" w:rsidR="001460F8" w:rsidRPr="001460F8" w:rsidRDefault="00261101" w:rsidP="001460F8">
      <w:pPr>
        <w:keepNext/>
        <w:tabs>
          <w:tab w:val="left" w:pos="720"/>
          <w:tab w:val="left" w:pos="5850"/>
          <w:tab w:val="left" w:pos="8460"/>
        </w:tabs>
        <w:spacing w:after="120"/>
        <w:outlineLvl w:val="1"/>
        <w:rPr>
          <w:rFonts w:asciiTheme="majorHAnsi" w:hAnsiTheme="majorHAnsi" w:cstheme="minorBidi"/>
          <w:bCs/>
          <w:color w:val="2F5496" w:themeColor="accent1" w:themeShade="BF"/>
          <w:sz w:val="28"/>
          <w:szCs w:val="22"/>
        </w:rPr>
      </w:pPr>
      <w:r>
        <w:rPr>
          <w:rFonts w:asciiTheme="majorHAnsi" w:hAnsiTheme="majorHAnsi" w:cstheme="minorBidi"/>
          <w:bCs/>
          <w:color w:val="2F5496" w:themeColor="accent1" w:themeShade="BF"/>
          <w:sz w:val="28"/>
          <w:szCs w:val="22"/>
        </w:rPr>
        <w:t>Role</w:t>
      </w:r>
      <w:r w:rsidRPr="001460F8">
        <w:rPr>
          <w:rFonts w:asciiTheme="majorHAnsi" w:hAnsiTheme="majorHAnsi" w:cstheme="minorBidi"/>
          <w:bCs/>
          <w:color w:val="2F5496" w:themeColor="accent1" w:themeShade="BF"/>
          <w:sz w:val="28"/>
          <w:szCs w:val="22"/>
        </w:rPr>
        <w:t xml:space="preserve"> </w:t>
      </w:r>
      <w:r w:rsidR="001460F8" w:rsidRPr="001460F8">
        <w:rPr>
          <w:rFonts w:asciiTheme="majorHAnsi" w:hAnsiTheme="majorHAnsi" w:cstheme="minorBidi"/>
          <w:bCs/>
          <w:color w:val="2F5496" w:themeColor="accent1" w:themeShade="BF"/>
          <w:sz w:val="28"/>
          <w:szCs w:val="22"/>
        </w:rPr>
        <w:t>Description</w:t>
      </w:r>
    </w:p>
    <w:p w14:paraId="6DA8A06C" w14:textId="63B23723" w:rsidR="001460F8" w:rsidRPr="001460F8" w:rsidRDefault="001460F8" w:rsidP="001460F8">
      <w:pPr>
        <w:spacing w:after="120"/>
        <w:jc w:val="left"/>
        <w:rPr>
          <w:rFonts w:ascii="Calibri" w:hAnsi="Calibri" w:cs="Calibri"/>
          <w:szCs w:val="24"/>
        </w:rPr>
      </w:pPr>
      <w:r w:rsidRPr="001460F8">
        <w:rPr>
          <w:rFonts w:ascii="Calibri" w:hAnsi="Calibri" w:cs="Calibri"/>
          <w:szCs w:val="24"/>
        </w:rPr>
        <w:t xml:space="preserve">Role title: </w:t>
      </w:r>
      <w:r w:rsidR="00FD7462">
        <w:rPr>
          <w:rFonts w:ascii="Calibri" w:hAnsi="Calibri" w:cs="Calibri"/>
          <w:szCs w:val="24"/>
        </w:rPr>
        <w:t>Senate</w:t>
      </w:r>
      <w:r>
        <w:rPr>
          <w:rFonts w:ascii="Calibri" w:hAnsi="Calibri" w:cs="Calibri"/>
          <w:szCs w:val="24"/>
        </w:rPr>
        <w:t xml:space="preserve"> </w:t>
      </w:r>
      <w:r w:rsidRPr="001460F8">
        <w:rPr>
          <w:rFonts w:ascii="Calibri" w:hAnsi="Calibri" w:cs="Calibri"/>
          <w:szCs w:val="24"/>
        </w:rPr>
        <w:t xml:space="preserve">Member </w:t>
      </w:r>
    </w:p>
    <w:p w14:paraId="48774F58" w14:textId="1B04AED0" w:rsidR="00344198" w:rsidRPr="00344198" w:rsidRDefault="001460F8" w:rsidP="00344198">
      <w:pPr>
        <w:spacing w:after="120"/>
        <w:jc w:val="left"/>
        <w:rPr>
          <w:rFonts w:ascii="Calibri" w:hAnsi="Calibri" w:cs="Calibri"/>
          <w:szCs w:val="24"/>
        </w:rPr>
      </w:pPr>
      <w:r w:rsidRPr="00344198">
        <w:rPr>
          <w:rFonts w:ascii="Calibri" w:hAnsi="Calibri" w:cs="Calibri"/>
          <w:szCs w:val="24"/>
        </w:rPr>
        <w:t xml:space="preserve">Term of office: </w:t>
      </w:r>
      <w:r w:rsidR="00FD7462" w:rsidRPr="00344198">
        <w:rPr>
          <w:rFonts w:ascii="Calibri" w:hAnsi="Calibri" w:cs="Calibri"/>
          <w:szCs w:val="24"/>
        </w:rPr>
        <w:t xml:space="preserve">Elected Member - </w:t>
      </w:r>
      <w:r w:rsidRPr="00344198">
        <w:rPr>
          <w:rFonts w:ascii="Calibri" w:hAnsi="Calibri" w:cs="Calibri"/>
          <w:szCs w:val="24"/>
        </w:rPr>
        <w:t>Three years</w:t>
      </w:r>
      <w:r w:rsidR="00EE38DA">
        <w:rPr>
          <w:rFonts w:ascii="Calibri" w:hAnsi="Calibri" w:cs="Calibri"/>
          <w:szCs w:val="24"/>
        </w:rPr>
        <w:t xml:space="preserve">.  This is </w:t>
      </w:r>
      <w:r w:rsidRPr="00344198">
        <w:rPr>
          <w:rFonts w:ascii="Calibri" w:hAnsi="Calibri" w:cs="Calibri"/>
          <w:szCs w:val="24"/>
        </w:rPr>
        <w:t>renewable</w:t>
      </w:r>
      <w:r w:rsidR="009B4CEC" w:rsidRPr="00344198">
        <w:rPr>
          <w:rFonts w:ascii="Calibri" w:hAnsi="Calibri" w:cs="Calibri"/>
          <w:szCs w:val="24"/>
        </w:rPr>
        <w:t xml:space="preserve"> for </w:t>
      </w:r>
      <w:r w:rsidR="00513F3C">
        <w:rPr>
          <w:rFonts w:ascii="Calibri" w:hAnsi="Calibri" w:cs="Calibri"/>
          <w:szCs w:val="24"/>
        </w:rPr>
        <w:t>one</w:t>
      </w:r>
      <w:r w:rsidR="00C5087A">
        <w:rPr>
          <w:rFonts w:ascii="Calibri" w:hAnsi="Calibri" w:cs="Calibri"/>
          <w:szCs w:val="24"/>
        </w:rPr>
        <w:t xml:space="preserve"> consecutive</w:t>
      </w:r>
      <w:r w:rsidR="009B4CEC" w:rsidRPr="00344198">
        <w:rPr>
          <w:rFonts w:ascii="Calibri" w:hAnsi="Calibri" w:cs="Calibri"/>
          <w:szCs w:val="24"/>
        </w:rPr>
        <w:t xml:space="preserve"> term</w:t>
      </w:r>
      <w:r w:rsidR="00C5087A">
        <w:rPr>
          <w:rFonts w:ascii="Calibri" w:hAnsi="Calibri" w:cs="Calibri"/>
          <w:szCs w:val="24"/>
        </w:rPr>
        <w:t>, subject to re-nomination</w:t>
      </w:r>
      <w:r w:rsidR="00261101">
        <w:rPr>
          <w:rFonts w:ascii="Calibri" w:hAnsi="Calibri" w:cs="Calibri"/>
          <w:szCs w:val="24"/>
        </w:rPr>
        <w:t xml:space="preserve">. </w:t>
      </w:r>
      <w:r w:rsidR="00261101" w:rsidRPr="00261101">
        <w:rPr>
          <w:rFonts w:ascii="Calibri" w:hAnsi="Calibri" w:cs="Calibri"/>
          <w:szCs w:val="24"/>
        </w:rPr>
        <w:t>Once one year has elapsed after the six, a further electoral period on the same terms is possible</w:t>
      </w:r>
      <w:r w:rsidR="00344198" w:rsidRPr="00344198">
        <w:rPr>
          <w:rFonts w:ascii="Calibri" w:hAnsi="Calibri" w:cs="Calibri"/>
          <w:szCs w:val="24"/>
        </w:rPr>
        <w:t xml:space="preserve">. </w:t>
      </w:r>
    </w:p>
    <w:p w14:paraId="191BE33E" w14:textId="77777777" w:rsidR="001460F8" w:rsidRPr="001460F8" w:rsidRDefault="001460F8" w:rsidP="001460F8">
      <w:pPr>
        <w:spacing w:after="0"/>
        <w:jc w:val="left"/>
        <w:rPr>
          <w:rFonts w:ascii="Calibri" w:hAnsi="Calibri" w:cs="Calibri"/>
          <w:szCs w:val="24"/>
        </w:rPr>
      </w:pPr>
      <w:r w:rsidRPr="001460F8">
        <w:rPr>
          <w:rFonts w:ascii="Calibri" w:hAnsi="Calibri" w:cs="Calibri"/>
          <w:szCs w:val="24"/>
        </w:rPr>
        <w:t xml:space="preserve">Time commitment: </w:t>
      </w:r>
    </w:p>
    <w:p w14:paraId="5DE98F39" w14:textId="6B3CF3C6" w:rsidR="001460F8" w:rsidRPr="001460F8" w:rsidRDefault="001460F8" w:rsidP="001460F8">
      <w:pPr>
        <w:numPr>
          <w:ilvl w:val="0"/>
          <w:numId w:val="20"/>
        </w:numPr>
        <w:spacing w:after="120"/>
        <w:contextualSpacing/>
        <w:jc w:val="left"/>
        <w:rPr>
          <w:rFonts w:ascii="Calibri" w:hAnsi="Calibri" w:cs="Calibri"/>
          <w:szCs w:val="24"/>
        </w:rPr>
      </w:pPr>
      <w:r w:rsidRPr="001460F8">
        <w:rPr>
          <w:rFonts w:ascii="Calibri" w:hAnsi="Calibri" w:cs="Calibri"/>
          <w:szCs w:val="24"/>
        </w:rPr>
        <w:t>F</w:t>
      </w:r>
      <w:r w:rsidR="00FD7462">
        <w:rPr>
          <w:rFonts w:ascii="Calibri" w:hAnsi="Calibri" w:cs="Calibri"/>
          <w:szCs w:val="24"/>
        </w:rPr>
        <w:t>ive</w:t>
      </w:r>
      <w:r w:rsidRPr="001460F8">
        <w:rPr>
          <w:rFonts w:ascii="Calibri" w:hAnsi="Calibri" w:cs="Calibri"/>
          <w:szCs w:val="24"/>
        </w:rPr>
        <w:t xml:space="preserve"> meetings a year (approximately </w:t>
      </w:r>
      <w:r w:rsidR="005F67A0">
        <w:rPr>
          <w:rFonts w:ascii="Calibri" w:hAnsi="Calibri" w:cs="Calibri"/>
          <w:szCs w:val="24"/>
        </w:rPr>
        <w:t>three</w:t>
      </w:r>
      <w:r w:rsidRPr="001460F8">
        <w:rPr>
          <w:rFonts w:ascii="Calibri" w:hAnsi="Calibri" w:cs="Calibri"/>
          <w:szCs w:val="24"/>
        </w:rPr>
        <w:t xml:space="preserve"> hours each</w:t>
      </w:r>
      <w:r w:rsidR="005F67A0">
        <w:rPr>
          <w:rFonts w:ascii="Calibri" w:hAnsi="Calibri" w:cs="Calibri"/>
          <w:szCs w:val="24"/>
        </w:rPr>
        <w:t>,</w:t>
      </w:r>
      <w:r w:rsidRPr="001460F8">
        <w:rPr>
          <w:rFonts w:ascii="Calibri" w:hAnsi="Calibri" w:cs="Calibri"/>
          <w:szCs w:val="24"/>
        </w:rPr>
        <w:t xml:space="preserve"> </w:t>
      </w:r>
      <w:r w:rsidR="00613A50">
        <w:rPr>
          <w:rFonts w:ascii="Calibri" w:hAnsi="Calibri" w:cs="Calibri"/>
          <w:szCs w:val="24"/>
        </w:rPr>
        <w:t>ex</w:t>
      </w:r>
      <w:r w:rsidRPr="001460F8">
        <w:rPr>
          <w:rFonts w:ascii="Calibri" w:hAnsi="Calibri" w:cs="Calibri"/>
          <w:szCs w:val="24"/>
        </w:rPr>
        <w:t>cluding preparation time)</w:t>
      </w:r>
      <w:r w:rsidR="00513F3C">
        <w:rPr>
          <w:rFonts w:ascii="Calibri" w:hAnsi="Calibri" w:cs="Calibri"/>
          <w:szCs w:val="24"/>
        </w:rPr>
        <w:t>.</w:t>
      </w:r>
    </w:p>
    <w:p w14:paraId="642873C6" w14:textId="77777777" w:rsidR="001460F8" w:rsidRPr="001460F8" w:rsidRDefault="001460F8" w:rsidP="001460F8">
      <w:pPr>
        <w:numPr>
          <w:ilvl w:val="0"/>
          <w:numId w:val="20"/>
        </w:numPr>
        <w:spacing w:after="120"/>
        <w:contextualSpacing/>
        <w:jc w:val="left"/>
        <w:rPr>
          <w:rFonts w:ascii="Calibri" w:hAnsi="Calibri" w:cs="Calibri"/>
          <w:szCs w:val="24"/>
        </w:rPr>
      </w:pPr>
      <w:r w:rsidRPr="001460F8">
        <w:rPr>
          <w:rFonts w:ascii="Calibri" w:hAnsi="Calibri" w:cs="Calibri"/>
          <w:szCs w:val="24"/>
        </w:rPr>
        <w:t xml:space="preserve">Possible additional </w:t>
      </w:r>
      <w:r w:rsidRPr="008817B0">
        <w:rPr>
          <w:rFonts w:ascii="Calibri" w:hAnsi="Calibri" w:cs="Calibri"/>
          <w:i/>
          <w:iCs/>
          <w:szCs w:val="24"/>
        </w:rPr>
        <w:t>ad hoc</w:t>
      </w:r>
      <w:r w:rsidRPr="001460F8">
        <w:rPr>
          <w:rFonts w:ascii="Calibri" w:hAnsi="Calibri" w:cs="Calibri"/>
          <w:szCs w:val="24"/>
        </w:rPr>
        <w:t xml:space="preserve"> meetings for workshops/training/induction.</w:t>
      </w:r>
    </w:p>
    <w:p w14:paraId="7EEE5ED3" w14:textId="21358C75" w:rsidR="001460F8" w:rsidRDefault="001460F8" w:rsidP="00FD7462">
      <w:pPr>
        <w:numPr>
          <w:ilvl w:val="0"/>
          <w:numId w:val="20"/>
        </w:numPr>
        <w:spacing w:after="120"/>
        <w:ind w:left="714" w:hanging="357"/>
        <w:contextualSpacing/>
        <w:jc w:val="left"/>
        <w:rPr>
          <w:rFonts w:ascii="Calibri" w:hAnsi="Calibri" w:cs="Calibri"/>
          <w:szCs w:val="24"/>
        </w:rPr>
      </w:pPr>
      <w:r w:rsidRPr="001460F8">
        <w:rPr>
          <w:rFonts w:ascii="Calibri" w:hAnsi="Calibri" w:cs="Calibri"/>
          <w:szCs w:val="24"/>
        </w:rPr>
        <w:t xml:space="preserve">Occasional </w:t>
      </w:r>
      <w:r w:rsidRPr="008817B0">
        <w:rPr>
          <w:rFonts w:ascii="Calibri" w:hAnsi="Calibri" w:cs="Calibri"/>
          <w:i/>
          <w:iCs/>
          <w:szCs w:val="24"/>
        </w:rPr>
        <w:t>ad hoc</w:t>
      </w:r>
      <w:r w:rsidRPr="001460F8">
        <w:rPr>
          <w:rFonts w:ascii="Calibri" w:hAnsi="Calibri" w:cs="Calibri"/>
          <w:szCs w:val="24"/>
        </w:rPr>
        <w:t xml:space="preserve"> advice and decision</w:t>
      </w:r>
      <w:r w:rsidR="00F4648D">
        <w:rPr>
          <w:rFonts w:ascii="Calibri" w:hAnsi="Calibri" w:cs="Calibri"/>
          <w:szCs w:val="24"/>
        </w:rPr>
        <w:t>-</w:t>
      </w:r>
      <w:r w:rsidRPr="001460F8">
        <w:rPr>
          <w:rFonts w:ascii="Calibri" w:hAnsi="Calibri" w:cs="Calibri"/>
          <w:szCs w:val="24"/>
        </w:rPr>
        <w:t xml:space="preserve">making between meetings. </w:t>
      </w:r>
    </w:p>
    <w:p w14:paraId="46ACBD2E" w14:textId="28B52989" w:rsidR="0073487A" w:rsidRDefault="00B30F45" w:rsidP="00FD7462">
      <w:pPr>
        <w:numPr>
          <w:ilvl w:val="0"/>
          <w:numId w:val="20"/>
        </w:numPr>
        <w:spacing w:after="120"/>
        <w:ind w:left="714" w:hanging="357"/>
        <w:contextualSpacing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Members of Senate are normally expected to commit additional time as a member of a sub-committee or joint committee with Council</w:t>
      </w:r>
      <w:r w:rsidR="007B0A82">
        <w:rPr>
          <w:rFonts w:ascii="Calibri" w:hAnsi="Calibri" w:cs="Calibri"/>
          <w:szCs w:val="24"/>
        </w:rPr>
        <w:t xml:space="preserve"> where Senate vacancies arise</w:t>
      </w:r>
      <w:r>
        <w:rPr>
          <w:rFonts w:ascii="Calibri" w:hAnsi="Calibri" w:cs="Calibri"/>
          <w:szCs w:val="24"/>
        </w:rPr>
        <w:t>, namely</w:t>
      </w:r>
      <w:r w:rsidR="0073487A">
        <w:rPr>
          <w:rFonts w:ascii="Calibri" w:hAnsi="Calibri" w:cs="Calibri"/>
          <w:szCs w:val="24"/>
        </w:rPr>
        <w:t>:</w:t>
      </w:r>
      <w:r w:rsidR="000670DB">
        <w:rPr>
          <w:rFonts w:ascii="Calibri" w:hAnsi="Calibri" w:cs="Calibri"/>
          <w:szCs w:val="24"/>
        </w:rPr>
        <w:t xml:space="preserve"> </w:t>
      </w:r>
    </w:p>
    <w:p w14:paraId="2C94A911" w14:textId="19330AF6" w:rsidR="0073487A" w:rsidRDefault="007B0A82" w:rsidP="0073487A">
      <w:pPr>
        <w:numPr>
          <w:ilvl w:val="1"/>
          <w:numId w:val="20"/>
        </w:numPr>
        <w:spacing w:after="120"/>
        <w:contextualSpacing/>
        <w:jc w:val="left"/>
        <w:rPr>
          <w:rFonts w:ascii="Calibri" w:hAnsi="Calibri" w:cs="Calibri"/>
          <w:szCs w:val="24"/>
        </w:rPr>
      </w:pPr>
      <w:hyperlink r:id="rId7" w:history="1">
        <w:r w:rsidR="000670DB" w:rsidRPr="008817B0">
          <w:rPr>
            <w:rStyle w:val="Hyperlink"/>
            <w:rFonts w:ascii="Calibri" w:hAnsi="Calibri" w:cs="Calibri"/>
            <w:szCs w:val="24"/>
          </w:rPr>
          <w:t>Academic Programmes Committee</w:t>
        </w:r>
      </w:hyperlink>
      <w:r w:rsidR="00F4648D">
        <w:rPr>
          <w:rFonts w:ascii="Calibri" w:hAnsi="Calibri" w:cs="Calibri"/>
          <w:szCs w:val="24"/>
        </w:rPr>
        <w:t xml:space="preserve"> (APC)</w:t>
      </w:r>
    </w:p>
    <w:p w14:paraId="5AFB0533" w14:textId="2BAB39C0" w:rsidR="00F4648D" w:rsidRDefault="007B0A82" w:rsidP="0073487A">
      <w:pPr>
        <w:numPr>
          <w:ilvl w:val="1"/>
          <w:numId w:val="20"/>
        </w:numPr>
        <w:spacing w:after="120"/>
        <w:contextualSpacing/>
        <w:jc w:val="left"/>
        <w:rPr>
          <w:rFonts w:ascii="Calibri" w:hAnsi="Calibri" w:cs="Calibri"/>
          <w:szCs w:val="24"/>
        </w:rPr>
      </w:pPr>
      <w:hyperlink r:id="rId8" w:history="1">
        <w:r w:rsidR="00F4648D" w:rsidRPr="008817B0">
          <w:rPr>
            <w:rStyle w:val="Hyperlink"/>
            <w:rFonts w:ascii="Calibri" w:hAnsi="Calibri" w:cs="Calibri"/>
            <w:szCs w:val="24"/>
          </w:rPr>
          <w:t>Academic Staff Committee</w:t>
        </w:r>
      </w:hyperlink>
      <w:r w:rsidR="00F4648D">
        <w:rPr>
          <w:rFonts w:ascii="Calibri" w:hAnsi="Calibri" w:cs="Calibri"/>
          <w:szCs w:val="24"/>
        </w:rPr>
        <w:t xml:space="preserve"> (ASC)</w:t>
      </w:r>
    </w:p>
    <w:p w14:paraId="39FFC6CA" w14:textId="65F736D3" w:rsidR="00F4648D" w:rsidRDefault="007B0A82" w:rsidP="0073487A">
      <w:pPr>
        <w:numPr>
          <w:ilvl w:val="1"/>
          <w:numId w:val="20"/>
        </w:numPr>
        <w:spacing w:after="120"/>
        <w:contextualSpacing/>
        <w:jc w:val="left"/>
        <w:rPr>
          <w:rFonts w:ascii="Calibri" w:hAnsi="Calibri" w:cs="Calibri"/>
          <w:szCs w:val="24"/>
        </w:rPr>
      </w:pPr>
      <w:hyperlink r:id="rId9" w:history="1">
        <w:r w:rsidR="00F4648D" w:rsidRPr="008817B0">
          <w:rPr>
            <w:rStyle w:val="Hyperlink"/>
            <w:rFonts w:ascii="Calibri" w:hAnsi="Calibri" w:cs="Calibri"/>
            <w:szCs w:val="24"/>
          </w:rPr>
          <w:t>Courses and Partnerships Approval Committee</w:t>
        </w:r>
      </w:hyperlink>
      <w:r w:rsidR="00F4648D">
        <w:rPr>
          <w:rFonts w:ascii="Calibri" w:hAnsi="Calibri" w:cs="Calibri"/>
          <w:szCs w:val="24"/>
        </w:rPr>
        <w:t xml:space="preserve"> (CPAC)</w:t>
      </w:r>
    </w:p>
    <w:p w14:paraId="6C32EDAE" w14:textId="4B3CD888" w:rsidR="000670DB" w:rsidRDefault="007B0A82" w:rsidP="0073487A">
      <w:pPr>
        <w:numPr>
          <w:ilvl w:val="1"/>
          <w:numId w:val="20"/>
        </w:numPr>
        <w:spacing w:after="120"/>
        <w:contextualSpacing/>
        <w:jc w:val="left"/>
        <w:rPr>
          <w:rFonts w:ascii="Calibri" w:hAnsi="Calibri" w:cs="Calibri"/>
          <w:szCs w:val="24"/>
        </w:rPr>
      </w:pPr>
      <w:hyperlink r:id="rId10" w:history="1">
        <w:r w:rsidR="0073487A" w:rsidRPr="008817B0">
          <w:rPr>
            <w:rStyle w:val="Hyperlink"/>
            <w:rFonts w:ascii="Calibri" w:hAnsi="Calibri" w:cs="Calibri"/>
            <w:szCs w:val="24"/>
          </w:rPr>
          <w:t>Education, Quality and Standards Committee</w:t>
        </w:r>
      </w:hyperlink>
      <w:r w:rsidR="00F4648D">
        <w:rPr>
          <w:rFonts w:ascii="Calibri" w:hAnsi="Calibri" w:cs="Calibri"/>
          <w:szCs w:val="24"/>
        </w:rPr>
        <w:t xml:space="preserve"> (EQSC)</w:t>
      </w:r>
    </w:p>
    <w:p w14:paraId="2C6A8D67" w14:textId="385E35BF" w:rsidR="0073487A" w:rsidRDefault="007B0A82" w:rsidP="0073487A">
      <w:pPr>
        <w:numPr>
          <w:ilvl w:val="1"/>
          <w:numId w:val="20"/>
        </w:numPr>
        <w:spacing w:after="120"/>
        <w:contextualSpacing/>
        <w:jc w:val="left"/>
        <w:rPr>
          <w:rFonts w:ascii="Calibri" w:hAnsi="Calibri" w:cs="Calibri"/>
          <w:szCs w:val="24"/>
        </w:rPr>
      </w:pPr>
      <w:hyperlink r:id="rId11" w:history="1">
        <w:r w:rsidR="0073487A" w:rsidRPr="008817B0">
          <w:rPr>
            <w:rStyle w:val="Hyperlink"/>
            <w:rFonts w:ascii="Calibri" w:hAnsi="Calibri" w:cs="Calibri"/>
            <w:szCs w:val="24"/>
          </w:rPr>
          <w:t>Equality, Diversity and Inclusion Committee</w:t>
        </w:r>
      </w:hyperlink>
      <w:r w:rsidR="00F4648D">
        <w:rPr>
          <w:rFonts w:ascii="Calibri" w:hAnsi="Calibri" w:cs="Calibri"/>
          <w:szCs w:val="24"/>
        </w:rPr>
        <w:t xml:space="preserve"> (EDIC)</w:t>
      </w:r>
    </w:p>
    <w:p w14:paraId="371E739F" w14:textId="0DAB5FA3" w:rsidR="0073487A" w:rsidRDefault="007B0A82" w:rsidP="0073487A">
      <w:pPr>
        <w:numPr>
          <w:ilvl w:val="1"/>
          <w:numId w:val="20"/>
        </w:numPr>
        <w:spacing w:after="120"/>
        <w:contextualSpacing/>
        <w:jc w:val="left"/>
        <w:rPr>
          <w:rFonts w:ascii="Calibri" w:hAnsi="Calibri" w:cs="Calibri"/>
          <w:szCs w:val="24"/>
        </w:rPr>
      </w:pPr>
      <w:hyperlink r:id="rId12" w:history="1">
        <w:r w:rsidR="0073487A" w:rsidRPr="008817B0">
          <w:rPr>
            <w:rStyle w:val="Hyperlink"/>
            <w:rFonts w:ascii="Calibri" w:hAnsi="Calibri" w:cs="Calibri"/>
            <w:szCs w:val="24"/>
          </w:rPr>
          <w:t>Honorary Degrees Committee</w:t>
        </w:r>
      </w:hyperlink>
      <w:r w:rsidR="00F4648D">
        <w:rPr>
          <w:rFonts w:ascii="Calibri" w:hAnsi="Calibri" w:cs="Calibri"/>
          <w:szCs w:val="24"/>
        </w:rPr>
        <w:t xml:space="preserve"> (HDC)</w:t>
      </w:r>
    </w:p>
    <w:p w14:paraId="0C2FA7BA" w14:textId="71CD9FC6" w:rsidR="001F2B06" w:rsidRDefault="007B0A82" w:rsidP="0073487A">
      <w:pPr>
        <w:numPr>
          <w:ilvl w:val="1"/>
          <w:numId w:val="20"/>
        </w:numPr>
        <w:spacing w:after="120"/>
        <w:contextualSpacing/>
        <w:jc w:val="left"/>
        <w:rPr>
          <w:rFonts w:ascii="Calibri" w:hAnsi="Calibri" w:cs="Calibri"/>
          <w:szCs w:val="24"/>
        </w:rPr>
      </w:pPr>
      <w:hyperlink r:id="rId13" w:history="1">
        <w:r w:rsidR="001F2B06" w:rsidRPr="008817B0">
          <w:rPr>
            <w:rStyle w:val="Hyperlink"/>
            <w:rFonts w:ascii="Calibri" w:hAnsi="Calibri" w:cs="Calibri"/>
            <w:szCs w:val="24"/>
          </w:rPr>
          <w:t>Redundancy Committee</w:t>
        </w:r>
      </w:hyperlink>
    </w:p>
    <w:p w14:paraId="2E7709B5" w14:textId="19AC23A3" w:rsidR="00F4648D" w:rsidRPr="00A409A4" w:rsidRDefault="007B0A82" w:rsidP="0073487A">
      <w:pPr>
        <w:numPr>
          <w:ilvl w:val="1"/>
          <w:numId w:val="20"/>
        </w:numPr>
        <w:spacing w:after="120"/>
        <w:contextualSpacing/>
        <w:jc w:val="left"/>
        <w:rPr>
          <w:rFonts w:ascii="Calibri" w:hAnsi="Calibri" w:cs="Calibri"/>
          <w:szCs w:val="24"/>
        </w:rPr>
      </w:pPr>
      <w:hyperlink r:id="rId14" w:history="1">
        <w:r w:rsidR="00F4648D" w:rsidRPr="008817B0">
          <w:rPr>
            <w:rStyle w:val="Hyperlink"/>
            <w:rFonts w:ascii="Calibri" w:hAnsi="Calibri" w:cs="Calibri"/>
            <w:szCs w:val="24"/>
          </w:rPr>
          <w:t>Research and Knowledge Exchange Committee</w:t>
        </w:r>
      </w:hyperlink>
      <w:r w:rsidR="00F4648D">
        <w:rPr>
          <w:rFonts w:ascii="Calibri" w:hAnsi="Calibri" w:cs="Calibri"/>
          <w:szCs w:val="24"/>
        </w:rPr>
        <w:t xml:space="preserve"> (RKEC)</w:t>
      </w:r>
    </w:p>
    <w:p w14:paraId="27FA1C2F" w14:textId="706AA153" w:rsidR="0073487A" w:rsidRDefault="007B0A82" w:rsidP="0073487A">
      <w:pPr>
        <w:numPr>
          <w:ilvl w:val="1"/>
          <w:numId w:val="20"/>
        </w:numPr>
        <w:spacing w:after="120"/>
        <w:contextualSpacing/>
        <w:jc w:val="left"/>
        <w:rPr>
          <w:rFonts w:ascii="Calibri" w:hAnsi="Calibri" w:cs="Calibri"/>
          <w:szCs w:val="24"/>
        </w:rPr>
      </w:pPr>
      <w:hyperlink r:id="rId15" w:history="1">
        <w:r w:rsidR="0073487A" w:rsidRPr="008817B0">
          <w:rPr>
            <w:rStyle w:val="Hyperlink"/>
            <w:rFonts w:ascii="Calibri" w:hAnsi="Calibri" w:cs="Calibri"/>
            <w:szCs w:val="24"/>
          </w:rPr>
          <w:t>Senior Academic Appointments Committee</w:t>
        </w:r>
      </w:hyperlink>
    </w:p>
    <w:p w14:paraId="7DCD9256" w14:textId="0F57AEBD" w:rsidR="00F4648D" w:rsidRDefault="00F4648D" w:rsidP="00F4648D">
      <w:pPr>
        <w:numPr>
          <w:ilvl w:val="0"/>
          <w:numId w:val="20"/>
        </w:numPr>
        <w:spacing w:after="120"/>
        <w:contextualSpacing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Members of Senate </w:t>
      </w:r>
      <w:r w:rsidRPr="00513F3C">
        <w:rPr>
          <w:rFonts w:ascii="Calibri" w:hAnsi="Calibri" w:cs="Calibri"/>
          <w:szCs w:val="24"/>
        </w:rPr>
        <w:t>may from time-to-time be asked to participate in processes associated with student and staff casework</w:t>
      </w:r>
      <w:r w:rsidR="00261101" w:rsidRPr="00513F3C">
        <w:rPr>
          <w:rFonts w:ascii="Calibri" w:hAnsi="Calibri" w:cs="Calibri"/>
          <w:szCs w:val="24"/>
        </w:rPr>
        <w:t>,</w:t>
      </w:r>
      <w:r w:rsidR="00261101">
        <w:rPr>
          <w:rFonts w:ascii="Calibri" w:hAnsi="Calibri" w:cs="Calibri"/>
          <w:szCs w:val="24"/>
        </w:rPr>
        <w:t xml:space="preserve"> including </w:t>
      </w:r>
      <w:r w:rsidR="00513F3C">
        <w:rPr>
          <w:rFonts w:ascii="Calibri" w:hAnsi="Calibri" w:cs="Calibri"/>
          <w:szCs w:val="24"/>
        </w:rPr>
        <w:t>Health, Wellbeing and Support for Study</w:t>
      </w:r>
      <w:r w:rsidR="00261101">
        <w:rPr>
          <w:rFonts w:ascii="Calibri" w:hAnsi="Calibri" w:cs="Calibri"/>
          <w:szCs w:val="24"/>
        </w:rPr>
        <w:t xml:space="preserve"> panel</w:t>
      </w:r>
      <w:r w:rsidR="0076696C">
        <w:rPr>
          <w:rFonts w:ascii="Calibri" w:hAnsi="Calibri" w:cs="Calibri"/>
          <w:szCs w:val="24"/>
        </w:rPr>
        <w:t>s</w:t>
      </w:r>
      <w:r>
        <w:rPr>
          <w:rFonts w:ascii="Calibri" w:hAnsi="Calibri" w:cs="Calibri"/>
          <w:szCs w:val="24"/>
        </w:rPr>
        <w:t>.</w:t>
      </w:r>
    </w:p>
    <w:p w14:paraId="233929CB" w14:textId="6BCA4963" w:rsidR="00F4648D" w:rsidRDefault="00F4648D" w:rsidP="008817B0">
      <w:pPr>
        <w:numPr>
          <w:ilvl w:val="0"/>
          <w:numId w:val="20"/>
        </w:numPr>
        <w:spacing w:after="120"/>
        <w:contextualSpacing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Members of Senate </w:t>
      </w:r>
      <w:r w:rsidR="00261101">
        <w:rPr>
          <w:rFonts w:ascii="Calibri" w:hAnsi="Calibri" w:cs="Calibri"/>
          <w:szCs w:val="24"/>
        </w:rPr>
        <w:t xml:space="preserve">are </w:t>
      </w:r>
      <w:r>
        <w:rPr>
          <w:rFonts w:ascii="Calibri" w:hAnsi="Calibri" w:cs="Calibri"/>
          <w:szCs w:val="24"/>
        </w:rPr>
        <w:t xml:space="preserve">also eligible to stand for election to </w:t>
      </w:r>
      <w:hyperlink r:id="rId16" w:history="1">
        <w:r w:rsidRPr="008817B0">
          <w:rPr>
            <w:rStyle w:val="Hyperlink"/>
            <w:rFonts w:ascii="Calibri" w:hAnsi="Calibri" w:cs="Calibri"/>
            <w:szCs w:val="24"/>
          </w:rPr>
          <w:t>Council</w:t>
        </w:r>
      </w:hyperlink>
      <w:r>
        <w:rPr>
          <w:rFonts w:ascii="Calibri" w:hAnsi="Calibri" w:cs="Calibri"/>
          <w:szCs w:val="24"/>
        </w:rPr>
        <w:t xml:space="preserve"> and/or </w:t>
      </w:r>
      <w:hyperlink r:id="rId17" w:history="1">
        <w:r w:rsidRPr="008817B0">
          <w:rPr>
            <w:rStyle w:val="Hyperlink"/>
            <w:rFonts w:ascii="Calibri" w:hAnsi="Calibri" w:cs="Calibri"/>
            <w:szCs w:val="24"/>
          </w:rPr>
          <w:t>Court</w:t>
        </w:r>
      </w:hyperlink>
      <w:r>
        <w:rPr>
          <w:rFonts w:ascii="Calibri" w:hAnsi="Calibri" w:cs="Calibri"/>
          <w:szCs w:val="24"/>
        </w:rPr>
        <w:t>.</w:t>
      </w:r>
    </w:p>
    <w:p w14:paraId="5DE0F446" w14:textId="3BE5B540" w:rsidR="001460F8" w:rsidRPr="001460F8" w:rsidRDefault="001460F8" w:rsidP="00B57D15">
      <w:pPr>
        <w:spacing w:before="300" w:after="120"/>
        <w:jc w:val="left"/>
        <w:rPr>
          <w:rFonts w:ascii="Calibri" w:hAnsi="Calibri" w:cs="Calibri"/>
          <w:szCs w:val="24"/>
        </w:rPr>
      </w:pPr>
      <w:r w:rsidRPr="001460F8">
        <w:rPr>
          <w:rFonts w:ascii="Calibri" w:hAnsi="Calibri" w:cs="Calibri"/>
          <w:szCs w:val="24"/>
        </w:rPr>
        <w:t xml:space="preserve">Appointment: </w:t>
      </w:r>
      <w:r w:rsidRPr="001460F8">
        <w:rPr>
          <w:rFonts w:ascii="Calibri" w:hAnsi="Calibri" w:cs="Calibri"/>
          <w:szCs w:val="24"/>
        </w:rPr>
        <w:tab/>
      </w:r>
      <w:r w:rsidR="00FD7462">
        <w:rPr>
          <w:rFonts w:ascii="Calibri" w:hAnsi="Calibri" w:cs="Calibri"/>
          <w:szCs w:val="24"/>
        </w:rPr>
        <w:t xml:space="preserve">Elected by </w:t>
      </w:r>
      <w:hyperlink r:id="rId18" w:history="1">
        <w:r w:rsidR="00FD7462" w:rsidRPr="008817B0">
          <w:rPr>
            <w:rStyle w:val="Hyperlink"/>
            <w:rFonts w:ascii="Calibri" w:hAnsi="Calibri" w:cs="Calibri"/>
            <w:szCs w:val="24"/>
          </w:rPr>
          <w:t>Academic Assembly</w:t>
        </w:r>
      </w:hyperlink>
    </w:p>
    <w:p w14:paraId="1A080430" w14:textId="77777777" w:rsidR="001460F8" w:rsidRPr="001460F8" w:rsidRDefault="001460F8" w:rsidP="001460F8">
      <w:pPr>
        <w:spacing w:after="0"/>
        <w:jc w:val="left"/>
        <w:rPr>
          <w:rFonts w:ascii="Calibri" w:hAnsi="Calibri" w:cs="Calibri"/>
          <w:sz w:val="22"/>
          <w:szCs w:val="22"/>
        </w:rPr>
      </w:pPr>
    </w:p>
    <w:p w14:paraId="40956859" w14:textId="4A6E43B7" w:rsidR="001460F8" w:rsidRPr="001460F8" w:rsidRDefault="00261101" w:rsidP="001460F8">
      <w:pPr>
        <w:keepNext/>
        <w:keepLines/>
        <w:spacing w:before="40"/>
        <w:outlineLvl w:val="2"/>
        <w:rPr>
          <w:rFonts w:asciiTheme="majorHAnsi" w:eastAsiaTheme="majorEastAsia" w:hAnsiTheme="majorHAnsi" w:cstheme="majorBidi"/>
          <w:color w:val="1F3763" w:themeColor="accent1" w:themeShade="7F"/>
          <w:sz w:val="28"/>
          <w:szCs w:val="24"/>
        </w:rPr>
      </w:pPr>
      <w:r>
        <w:rPr>
          <w:rFonts w:asciiTheme="majorHAnsi" w:eastAsiaTheme="majorEastAsia" w:hAnsiTheme="majorHAnsi" w:cstheme="majorBidi"/>
          <w:color w:val="1F3763" w:themeColor="accent1" w:themeShade="7F"/>
          <w:sz w:val="28"/>
          <w:szCs w:val="24"/>
        </w:rPr>
        <w:t>Role</w:t>
      </w:r>
      <w:r w:rsidRPr="001460F8">
        <w:rPr>
          <w:rFonts w:asciiTheme="majorHAnsi" w:eastAsiaTheme="majorEastAsia" w:hAnsiTheme="majorHAnsi" w:cstheme="majorBidi"/>
          <w:color w:val="1F3763" w:themeColor="accent1" w:themeShade="7F"/>
          <w:sz w:val="28"/>
          <w:szCs w:val="24"/>
        </w:rPr>
        <w:t xml:space="preserve"> </w:t>
      </w:r>
      <w:r w:rsidR="007C22C0">
        <w:rPr>
          <w:rFonts w:asciiTheme="majorHAnsi" w:eastAsiaTheme="majorEastAsia" w:hAnsiTheme="majorHAnsi" w:cstheme="majorBidi"/>
          <w:color w:val="1F3763" w:themeColor="accent1" w:themeShade="7F"/>
          <w:sz w:val="28"/>
          <w:szCs w:val="24"/>
        </w:rPr>
        <w:t>P</w:t>
      </w:r>
      <w:r w:rsidR="001460F8" w:rsidRPr="001460F8">
        <w:rPr>
          <w:rFonts w:asciiTheme="majorHAnsi" w:eastAsiaTheme="majorEastAsia" w:hAnsiTheme="majorHAnsi" w:cstheme="majorBidi"/>
          <w:color w:val="1F3763" w:themeColor="accent1" w:themeShade="7F"/>
          <w:sz w:val="28"/>
          <w:szCs w:val="24"/>
        </w:rPr>
        <w:t>urpose</w:t>
      </w:r>
    </w:p>
    <w:p w14:paraId="7A424C50" w14:textId="6DE6F0FB" w:rsidR="008817B0" w:rsidRDefault="008817B0" w:rsidP="00B73DF3">
      <w:pPr>
        <w:spacing w:after="0"/>
        <w:jc w:val="left"/>
        <w:rPr>
          <w:rFonts w:ascii="Calibri" w:hAnsi="Calibri" w:cs="Calibri"/>
          <w:szCs w:val="24"/>
        </w:rPr>
      </w:pPr>
      <w:bookmarkStart w:id="0" w:name="_Hlk130901296"/>
      <w:r w:rsidRPr="008817B0">
        <w:rPr>
          <w:rFonts w:ascii="Calibri" w:hAnsi="Calibri" w:cs="Calibri"/>
          <w:szCs w:val="24"/>
        </w:rPr>
        <w:t>Senate is the University’s senior academic decision-making body.</w:t>
      </w:r>
      <w:r w:rsidR="00260357">
        <w:rPr>
          <w:rFonts w:ascii="Calibri" w:hAnsi="Calibri" w:cs="Calibri"/>
          <w:szCs w:val="24"/>
        </w:rPr>
        <w:t xml:space="preserve"> </w:t>
      </w:r>
      <w:r w:rsidRPr="008817B0">
        <w:rPr>
          <w:rFonts w:ascii="Calibri" w:hAnsi="Calibri" w:cs="Calibri"/>
          <w:szCs w:val="24"/>
        </w:rPr>
        <w:t xml:space="preserve"> It is responsible for the strategic</w:t>
      </w:r>
      <w:r w:rsidR="00DD06E5">
        <w:rPr>
          <w:rFonts w:ascii="Calibri" w:hAnsi="Calibri" w:cs="Calibri"/>
          <w:szCs w:val="24"/>
        </w:rPr>
        <w:t>, rather than operational,</w:t>
      </w:r>
      <w:r w:rsidRPr="008817B0">
        <w:rPr>
          <w:rFonts w:ascii="Calibri" w:hAnsi="Calibri" w:cs="Calibri"/>
          <w:szCs w:val="24"/>
        </w:rPr>
        <w:t xml:space="preserve"> development of policy and activities in education, research, knowledge exchange and the student educational experience.</w:t>
      </w:r>
      <w:r w:rsidR="00260357">
        <w:rPr>
          <w:rFonts w:ascii="Calibri" w:hAnsi="Calibri" w:cs="Calibri"/>
          <w:szCs w:val="24"/>
        </w:rPr>
        <w:t xml:space="preserve"> </w:t>
      </w:r>
      <w:r w:rsidRPr="008817B0">
        <w:rPr>
          <w:rFonts w:ascii="Calibri" w:hAnsi="Calibri" w:cs="Calibri"/>
          <w:szCs w:val="24"/>
        </w:rPr>
        <w:t xml:space="preserve"> It oversees the </w:t>
      </w:r>
      <w:r w:rsidR="0026057B" w:rsidRPr="0026057B">
        <w:rPr>
          <w:rFonts w:ascii="Calibri" w:hAnsi="Calibri" w:cs="Calibri"/>
          <w:szCs w:val="24"/>
        </w:rPr>
        <w:t>regulation, governance, standards and quality assurance</w:t>
      </w:r>
      <w:r w:rsidRPr="008817B0">
        <w:rPr>
          <w:rFonts w:ascii="Calibri" w:hAnsi="Calibri" w:cs="Calibri"/>
          <w:szCs w:val="24"/>
        </w:rPr>
        <w:t xml:space="preserve"> of the academic endeavour and provides onward assurance to the University Council, in line with the expectations of the Office for Students</w:t>
      </w:r>
      <w:r w:rsidR="00B57D15">
        <w:rPr>
          <w:rFonts w:ascii="Calibri" w:hAnsi="Calibri" w:cs="Calibri"/>
          <w:szCs w:val="24"/>
        </w:rPr>
        <w:t>.</w:t>
      </w:r>
    </w:p>
    <w:bookmarkEnd w:id="0"/>
    <w:p w14:paraId="253C0C43" w14:textId="77777777" w:rsidR="00B73DF3" w:rsidRDefault="00B73DF3" w:rsidP="00B73DF3">
      <w:pPr>
        <w:spacing w:after="0"/>
        <w:jc w:val="left"/>
        <w:rPr>
          <w:rFonts w:ascii="Calibri" w:hAnsi="Calibri" w:cs="Calibri"/>
          <w:szCs w:val="24"/>
        </w:rPr>
      </w:pPr>
    </w:p>
    <w:p w14:paraId="72FB5413" w14:textId="33F12041" w:rsidR="001460F8" w:rsidRPr="001460F8" w:rsidRDefault="00FD7462" w:rsidP="001460F8">
      <w:pPr>
        <w:spacing w:after="120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Senate </w:t>
      </w:r>
      <w:r w:rsidR="001460F8" w:rsidRPr="001460F8">
        <w:rPr>
          <w:rFonts w:ascii="Calibri" w:hAnsi="Calibri" w:cs="Calibri"/>
          <w:szCs w:val="24"/>
        </w:rPr>
        <w:t xml:space="preserve">members contribute their skills and experience </w:t>
      </w:r>
      <w:r w:rsidR="001460F8" w:rsidRPr="00882C36">
        <w:rPr>
          <w:rFonts w:ascii="Calibri" w:hAnsi="Calibri" w:cs="Calibri"/>
          <w:szCs w:val="24"/>
        </w:rPr>
        <w:t>in a non-executive capacity</w:t>
      </w:r>
      <w:r w:rsidR="001460F8" w:rsidRPr="001460F8">
        <w:rPr>
          <w:rFonts w:ascii="Calibri" w:hAnsi="Calibri" w:cs="Calibri"/>
          <w:szCs w:val="24"/>
        </w:rPr>
        <w:t xml:space="preserve">, </w:t>
      </w:r>
      <w:r w:rsidR="00B73DF3" w:rsidRPr="00B73DF3">
        <w:rPr>
          <w:rFonts w:ascii="Calibri" w:hAnsi="Calibri" w:cs="Calibri"/>
          <w:szCs w:val="24"/>
        </w:rPr>
        <w:t>act</w:t>
      </w:r>
      <w:r w:rsidR="00B73DF3">
        <w:rPr>
          <w:rFonts w:ascii="Calibri" w:hAnsi="Calibri" w:cs="Calibri"/>
          <w:szCs w:val="24"/>
        </w:rPr>
        <w:t>ing</w:t>
      </w:r>
      <w:r w:rsidR="00B73DF3" w:rsidRPr="00B73DF3">
        <w:rPr>
          <w:rFonts w:ascii="Calibri" w:hAnsi="Calibri" w:cs="Calibri"/>
          <w:szCs w:val="24"/>
        </w:rPr>
        <w:t xml:space="preserve"> in the interests of the University as a whole</w:t>
      </w:r>
      <w:r w:rsidR="00B73DF3">
        <w:rPr>
          <w:rFonts w:ascii="Calibri" w:hAnsi="Calibri" w:cs="Calibri"/>
          <w:szCs w:val="24"/>
        </w:rPr>
        <w:t xml:space="preserve"> and</w:t>
      </w:r>
      <w:r w:rsidR="00B73DF3" w:rsidRPr="00B73DF3">
        <w:rPr>
          <w:rFonts w:ascii="Calibri" w:hAnsi="Calibri" w:cs="Calibri"/>
          <w:szCs w:val="24"/>
        </w:rPr>
        <w:t xml:space="preserve"> tak</w:t>
      </w:r>
      <w:r w:rsidR="00B73DF3">
        <w:rPr>
          <w:rFonts w:ascii="Calibri" w:hAnsi="Calibri" w:cs="Calibri"/>
          <w:szCs w:val="24"/>
        </w:rPr>
        <w:t>ing</w:t>
      </w:r>
      <w:r w:rsidR="00B73DF3" w:rsidRPr="00B73DF3">
        <w:rPr>
          <w:rFonts w:ascii="Calibri" w:hAnsi="Calibri" w:cs="Calibri"/>
          <w:szCs w:val="24"/>
        </w:rPr>
        <w:t xml:space="preserve"> collective responsibility for making decisions</w:t>
      </w:r>
      <w:r w:rsidR="00B73DF3">
        <w:rPr>
          <w:rFonts w:ascii="Calibri" w:hAnsi="Calibri" w:cs="Calibri"/>
          <w:szCs w:val="24"/>
        </w:rPr>
        <w:t>.  T</w:t>
      </w:r>
      <w:r w:rsidR="001460F8" w:rsidRPr="001460F8">
        <w:rPr>
          <w:rFonts w:ascii="Calibri" w:hAnsi="Calibri" w:cs="Calibri"/>
          <w:szCs w:val="24"/>
        </w:rPr>
        <w:t xml:space="preserve">heir roles are unremunerated. </w:t>
      </w:r>
      <w:r w:rsidR="0080633A">
        <w:rPr>
          <w:rFonts w:ascii="Calibri" w:hAnsi="Calibri" w:cs="Calibri"/>
          <w:szCs w:val="24"/>
        </w:rPr>
        <w:t xml:space="preserve"> </w:t>
      </w:r>
      <w:r w:rsidR="001460F8" w:rsidRPr="001460F8">
        <w:rPr>
          <w:rFonts w:ascii="Calibri" w:hAnsi="Calibri" w:cs="Calibri"/>
          <w:szCs w:val="24"/>
        </w:rPr>
        <w:t xml:space="preserve">They are expected to ensure that </w:t>
      </w:r>
      <w:r>
        <w:rPr>
          <w:rFonts w:ascii="Calibri" w:hAnsi="Calibri" w:cs="Calibri"/>
          <w:szCs w:val="24"/>
        </w:rPr>
        <w:t>Senate</w:t>
      </w:r>
      <w:r w:rsidR="001460F8" w:rsidRPr="001460F8">
        <w:rPr>
          <w:rFonts w:ascii="Calibri" w:hAnsi="Calibri" w:cs="Calibri"/>
          <w:szCs w:val="24"/>
        </w:rPr>
        <w:t xml:space="preserve"> operates to high standards of governance by personally demonstrating their integrity, objectivity, and accountability in every aspect of their work.</w:t>
      </w:r>
      <w:r w:rsidR="00BE604D">
        <w:rPr>
          <w:rFonts w:ascii="Calibri" w:hAnsi="Calibri" w:cs="Calibri"/>
          <w:szCs w:val="24"/>
        </w:rPr>
        <w:t xml:space="preserve">  </w:t>
      </w:r>
      <w:r w:rsidR="00BE604D" w:rsidRPr="00BE604D">
        <w:rPr>
          <w:rFonts w:ascii="Calibri" w:hAnsi="Calibri" w:cs="Calibri"/>
          <w:szCs w:val="24"/>
        </w:rPr>
        <w:t xml:space="preserve">Senate benefits from </w:t>
      </w:r>
      <w:r w:rsidR="00BE604D">
        <w:rPr>
          <w:rFonts w:ascii="Calibri" w:hAnsi="Calibri" w:cs="Calibri"/>
          <w:szCs w:val="24"/>
        </w:rPr>
        <w:t xml:space="preserve">members having </w:t>
      </w:r>
      <w:r w:rsidR="00BE604D" w:rsidRPr="00BE604D">
        <w:rPr>
          <w:rFonts w:ascii="Calibri" w:hAnsi="Calibri" w:cs="Calibri"/>
          <w:szCs w:val="24"/>
        </w:rPr>
        <w:t>a range of experience</w:t>
      </w:r>
      <w:r w:rsidR="00BE604D">
        <w:rPr>
          <w:rFonts w:ascii="Calibri" w:hAnsi="Calibri" w:cs="Calibri"/>
          <w:szCs w:val="24"/>
        </w:rPr>
        <w:t xml:space="preserve">, </w:t>
      </w:r>
      <w:r w:rsidR="00BE604D" w:rsidRPr="00BE604D">
        <w:rPr>
          <w:rFonts w:ascii="Calibri" w:hAnsi="Calibri" w:cs="Calibri"/>
          <w:szCs w:val="24"/>
        </w:rPr>
        <w:t>both in terms of longevity and type</w:t>
      </w:r>
      <w:r w:rsidR="00BE604D">
        <w:rPr>
          <w:rFonts w:ascii="Calibri" w:hAnsi="Calibri" w:cs="Calibri"/>
          <w:szCs w:val="24"/>
        </w:rPr>
        <w:t>.</w:t>
      </w:r>
    </w:p>
    <w:p w14:paraId="7046B41A" w14:textId="77777777" w:rsidR="001460F8" w:rsidRPr="001460F8" w:rsidRDefault="001460F8" w:rsidP="001460F8">
      <w:pPr>
        <w:spacing w:after="0"/>
        <w:jc w:val="left"/>
        <w:rPr>
          <w:rFonts w:ascii="Calibri" w:hAnsi="Calibri" w:cs="Calibri"/>
          <w:sz w:val="22"/>
          <w:szCs w:val="22"/>
        </w:rPr>
      </w:pPr>
    </w:p>
    <w:p w14:paraId="63784AB2" w14:textId="2ED3BFED" w:rsidR="001460F8" w:rsidRPr="001460F8" w:rsidRDefault="00FD7462" w:rsidP="001460F8">
      <w:pPr>
        <w:keepNext/>
        <w:keepLines/>
        <w:spacing w:before="40"/>
        <w:outlineLvl w:val="2"/>
        <w:rPr>
          <w:rFonts w:asciiTheme="majorHAnsi" w:eastAsiaTheme="majorEastAsia" w:hAnsiTheme="majorHAnsi" w:cstheme="majorBidi"/>
          <w:color w:val="1F3763" w:themeColor="accent1" w:themeShade="7F"/>
          <w:sz w:val="28"/>
          <w:szCs w:val="24"/>
        </w:rPr>
      </w:pPr>
      <w:r>
        <w:rPr>
          <w:rFonts w:asciiTheme="majorHAnsi" w:eastAsiaTheme="majorEastAsia" w:hAnsiTheme="majorHAnsi" w:cstheme="majorBidi"/>
          <w:color w:val="1F3763" w:themeColor="accent1" w:themeShade="7F"/>
          <w:sz w:val="28"/>
          <w:szCs w:val="24"/>
        </w:rPr>
        <w:lastRenderedPageBreak/>
        <w:t>Senate</w:t>
      </w:r>
      <w:r w:rsidR="00882C36" w:rsidRPr="001460F8">
        <w:rPr>
          <w:rFonts w:asciiTheme="majorHAnsi" w:eastAsiaTheme="majorEastAsia" w:hAnsiTheme="majorHAnsi" w:cstheme="majorBidi"/>
          <w:color w:val="1F3763" w:themeColor="accent1" w:themeShade="7F"/>
          <w:sz w:val="28"/>
          <w:szCs w:val="24"/>
        </w:rPr>
        <w:t xml:space="preserve"> </w:t>
      </w:r>
      <w:r w:rsidR="001460F8" w:rsidRPr="001460F8">
        <w:rPr>
          <w:rFonts w:asciiTheme="majorHAnsi" w:eastAsiaTheme="majorEastAsia" w:hAnsiTheme="majorHAnsi" w:cstheme="majorBidi"/>
          <w:color w:val="1F3763" w:themeColor="accent1" w:themeShade="7F"/>
          <w:sz w:val="28"/>
          <w:szCs w:val="24"/>
        </w:rPr>
        <w:t xml:space="preserve">Key </w:t>
      </w:r>
      <w:r w:rsidR="007C22C0">
        <w:rPr>
          <w:rFonts w:asciiTheme="majorHAnsi" w:eastAsiaTheme="majorEastAsia" w:hAnsiTheme="majorHAnsi" w:cstheme="majorBidi"/>
          <w:color w:val="1F3763" w:themeColor="accent1" w:themeShade="7F"/>
          <w:sz w:val="28"/>
          <w:szCs w:val="24"/>
        </w:rPr>
        <w:t>R</w:t>
      </w:r>
      <w:r w:rsidR="001460F8" w:rsidRPr="001460F8">
        <w:rPr>
          <w:rFonts w:asciiTheme="majorHAnsi" w:eastAsiaTheme="majorEastAsia" w:hAnsiTheme="majorHAnsi" w:cstheme="majorBidi"/>
          <w:color w:val="1F3763" w:themeColor="accent1" w:themeShade="7F"/>
          <w:sz w:val="28"/>
          <w:szCs w:val="24"/>
        </w:rPr>
        <w:t>esponsibilities</w:t>
      </w:r>
    </w:p>
    <w:p w14:paraId="31944BBE" w14:textId="0D02A0F7" w:rsidR="00260357" w:rsidRDefault="00260357" w:rsidP="007C22C0">
      <w:pPr>
        <w:spacing w:after="0"/>
        <w:jc w:val="left"/>
        <w:rPr>
          <w:rFonts w:ascii="Calibri" w:hAnsi="Calibri" w:cs="Calibri"/>
          <w:szCs w:val="24"/>
        </w:rPr>
      </w:pPr>
      <w:r w:rsidRPr="00831E76">
        <w:rPr>
          <w:rFonts w:ascii="Calibri" w:hAnsi="Calibri" w:cs="Calibri"/>
          <w:szCs w:val="24"/>
        </w:rPr>
        <w:t xml:space="preserve">The functions and responsibilities of Senate are set out in detail in Section 19 of </w:t>
      </w:r>
      <w:hyperlink r:id="rId19" w:history="1">
        <w:r w:rsidRPr="00831E76">
          <w:rPr>
            <w:rStyle w:val="Hyperlink"/>
            <w:rFonts w:ascii="Calibri" w:hAnsi="Calibri" w:cs="Calibri"/>
            <w:szCs w:val="24"/>
          </w:rPr>
          <w:t>University Statutes</w:t>
        </w:r>
      </w:hyperlink>
      <w:r w:rsidRPr="00831E76">
        <w:rPr>
          <w:rFonts w:ascii="Calibri" w:hAnsi="Calibri" w:cs="Calibri"/>
          <w:szCs w:val="24"/>
        </w:rPr>
        <w:t xml:space="preserve"> and </w:t>
      </w:r>
      <w:hyperlink r:id="rId20" w:history="1">
        <w:r w:rsidR="00B57D15" w:rsidRPr="00831E76">
          <w:rPr>
            <w:rStyle w:val="Hyperlink"/>
            <w:rFonts w:ascii="Calibri" w:hAnsi="Calibri" w:cs="Calibri"/>
            <w:szCs w:val="24"/>
          </w:rPr>
          <w:t>Ordinance</w:t>
        </w:r>
      </w:hyperlink>
      <w:r w:rsidR="00B57D15" w:rsidRPr="00831E76">
        <w:rPr>
          <w:rFonts w:ascii="Calibri" w:hAnsi="Calibri" w:cs="Calibri"/>
          <w:szCs w:val="24"/>
        </w:rPr>
        <w:t xml:space="preserve"> 8</w:t>
      </w:r>
      <w:r w:rsidRPr="00831E76">
        <w:rPr>
          <w:rFonts w:ascii="Calibri" w:hAnsi="Calibri" w:cs="Calibri"/>
          <w:szCs w:val="24"/>
        </w:rPr>
        <w:t>.</w:t>
      </w:r>
    </w:p>
    <w:p w14:paraId="38E5E571" w14:textId="77777777" w:rsidR="00B15E57" w:rsidRPr="00831E76" w:rsidRDefault="00B15E57" w:rsidP="007C22C0">
      <w:pPr>
        <w:spacing w:after="0"/>
        <w:jc w:val="left"/>
        <w:rPr>
          <w:rFonts w:ascii="Calibri" w:hAnsi="Calibri" w:cs="Calibri"/>
          <w:szCs w:val="24"/>
        </w:rPr>
      </w:pPr>
    </w:p>
    <w:p w14:paraId="4964FBF5" w14:textId="446F25B2" w:rsidR="0033685E" w:rsidRPr="001460F8" w:rsidRDefault="001460F8" w:rsidP="001460F8">
      <w:pPr>
        <w:keepNext/>
        <w:keepLines/>
        <w:spacing w:before="40"/>
        <w:outlineLvl w:val="2"/>
        <w:rPr>
          <w:rFonts w:asciiTheme="majorHAnsi" w:eastAsiaTheme="majorEastAsia" w:hAnsiTheme="majorHAnsi" w:cstheme="majorBidi"/>
          <w:color w:val="1F3763" w:themeColor="accent1" w:themeShade="7F"/>
          <w:sz w:val="28"/>
          <w:szCs w:val="24"/>
        </w:rPr>
      </w:pPr>
      <w:r w:rsidRPr="001460F8">
        <w:rPr>
          <w:rFonts w:asciiTheme="majorHAnsi" w:eastAsiaTheme="majorEastAsia" w:hAnsiTheme="majorHAnsi" w:cstheme="majorBidi"/>
          <w:color w:val="1F3763" w:themeColor="accent1" w:themeShade="7F"/>
          <w:sz w:val="28"/>
          <w:szCs w:val="24"/>
        </w:rPr>
        <w:t>Person Specification</w:t>
      </w:r>
    </w:p>
    <w:p w14:paraId="5908F046" w14:textId="1A160C8A" w:rsidR="00BE604D" w:rsidRPr="007B6DB3" w:rsidRDefault="0033685E" w:rsidP="007B6DB3">
      <w:pPr>
        <w:rPr>
          <w:rStyle w:val="SubtleEmphasis"/>
        </w:rPr>
      </w:pPr>
      <w:r>
        <w:rPr>
          <w:rStyle w:val="SubtleEmphasis"/>
        </w:rPr>
        <w:t>N.B. Senate benefits from the breadth of skills and experience of its members and their range of perspectives. Length of service at the University is, therefore, not a criterion when standing for election.</w:t>
      </w:r>
    </w:p>
    <w:p w14:paraId="07DDEA22" w14:textId="7A84F070" w:rsidR="00261101" w:rsidRDefault="00261101" w:rsidP="00261101">
      <w:pPr>
        <w:numPr>
          <w:ilvl w:val="0"/>
          <w:numId w:val="23"/>
        </w:numPr>
        <w:spacing w:line="300" w:lineRule="exact"/>
        <w:ind w:left="567" w:hanging="567"/>
        <w:contextualSpacing/>
        <w:jc w:val="left"/>
      </w:pPr>
      <w:r w:rsidRPr="001460F8">
        <w:t xml:space="preserve">Ability to identify and manage conflicts of interest ensuring all decisions made are in the best interests of the University. </w:t>
      </w:r>
    </w:p>
    <w:p w14:paraId="6A3F5A9B" w14:textId="1587BFFA" w:rsidR="00284738" w:rsidRDefault="00284738" w:rsidP="00261101">
      <w:pPr>
        <w:numPr>
          <w:ilvl w:val="0"/>
          <w:numId w:val="23"/>
        </w:numPr>
        <w:spacing w:line="300" w:lineRule="exact"/>
        <w:ind w:left="567" w:hanging="567"/>
        <w:contextualSpacing/>
        <w:jc w:val="left"/>
      </w:pPr>
      <w:r>
        <w:t xml:space="preserve">Willingness to follow </w:t>
      </w:r>
      <w:hyperlink r:id="rId21" w:history="1">
        <w:r w:rsidRPr="00284738">
          <w:rPr>
            <w:rStyle w:val="Hyperlink"/>
          </w:rPr>
          <w:t>The Seven Principles of Public Life</w:t>
        </w:r>
      </w:hyperlink>
      <w:r>
        <w:t xml:space="preserve"> (also known as the Nolan Principles).</w:t>
      </w:r>
    </w:p>
    <w:p w14:paraId="13DC9B63" w14:textId="3BC15F66" w:rsidR="00284738" w:rsidRPr="001460F8" w:rsidRDefault="00284738" w:rsidP="00261101">
      <w:pPr>
        <w:numPr>
          <w:ilvl w:val="0"/>
          <w:numId w:val="23"/>
        </w:numPr>
        <w:spacing w:line="300" w:lineRule="exact"/>
        <w:ind w:left="567" w:hanging="567"/>
        <w:contextualSpacing/>
        <w:jc w:val="left"/>
      </w:pPr>
      <w:r>
        <w:t>Willingness to promote transparency and good governance.</w:t>
      </w:r>
    </w:p>
    <w:p w14:paraId="78D2042E" w14:textId="6F67A741" w:rsidR="001460F8" w:rsidRPr="001460F8" w:rsidRDefault="001460F8" w:rsidP="00260357">
      <w:pPr>
        <w:numPr>
          <w:ilvl w:val="0"/>
          <w:numId w:val="23"/>
        </w:numPr>
        <w:spacing w:line="300" w:lineRule="exact"/>
        <w:ind w:left="567" w:hanging="567"/>
        <w:contextualSpacing/>
        <w:jc w:val="left"/>
      </w:pPr>
      <w:r w:rsidRPr="001460F8">
        <w:t>Ability to challenge constructively and hold management to account in an appropriate manner.</w:t>
      </w:r>
    </w:p>
    <w:p w14:paraId="725DEBE6" w14:textId="77777777" w:rsidR="001460F8" w:rsidRPr="001460F8" w:rsidRDefault="001460F8" w:rsidP="00260357">
      <w:pPr>
        <w:numPr>
          <w:ilvl w:val="0"/>
          <w:numId w:val="23"/>
        </w:numPr>
        <w:spacing w:line="300" w:lineRule="exact"/>
        <w:ind w:left="567" w:hanging="567"/>
        <w:contextualSpacing/>
        <w:jc w:val="left"/>
      </w:pPr>
      <w:r w:rsidRPr="001460F8">
        <w:t>Ability to maintain confidentiality and deal with sensitive information in an appropriate manner.</w:t>
      </w:r>
    </w:p>
    <w:p w14:paraId="182FCA52" w14:textId="77777777" w:rsidR="001460F8" w:rsidRPr="001460F8" w:rsidRDefault="001460F8" w:rsidP="00260357">
      <w:pPr>
        <w:numPr>
          <w:ilvl w:val="0"/>
          <w:numId w:val="23"/>
        </w:numPr>
        <w:spacing w:line="300" w:lineRule="exact"/>
        <w:ind w:left="567" w:hanging="567"/>
        <w:contextualSpacing/>
        <w:jc w:val="left"/>
      </w:pPr>
      <w:r w:rsidRPr="001460F8">
        <w:t xml:space="preserve">Ability to interpret relevant data to identify issues and ask relevant questions. </w:t>
      </w:r>
    </w:p>
    <w:p w14:paraId="7C7177B0" w14:textId="77777777" w:rsidR="001460F8" w:rsidRPr="001460F8" w:rsidRDefault="001460F8" w:rsidP="00260357">
      <w:pPr>
        <w:numPr>
          <w:ilvl w:val="0"/>
          <w:numId w:val="23"/>
        </w:numPr>
        <w:spacing w:line="300" w:lineRule="exact"/>
        <w:ind w:left="567" w:hanging="567"/>
        <w:contextualSpacing/>
        <w:jc w:val="left"/>
      </w:pPr>
      <w:r w:rsidRPr="001460F8">
        <w:t>Ability to identify risks and evaluate the effectiveness of any mitigations in place.</w:t>
      </w:r>
    </w:p>
    <w:p w14:paraId="28099B37" w14:textId="39EC6EB8" w:rsidR="001460F8" w:rsidRPr="001460F8" w:rsidRDefault="001460F8" w:rsidP="00260357">
      <w:pPr>
        <w:numPr>
          <w:ilvl w:val="0"/>
          <w:numId w:val="23"/>
        </w:numPr>
        <w:spacing w:line="300" w:lineRule="exact"/>
        <w:ind w:left="567" w:hanging="567"/>
        <w:contextualSpacing/>
        <w:jc w:val="left"/>
      </w:pPr>
      <w:r w:rsidRPr="001460F8">
        <w:t>Ability to monitor good systems of control and accountability.</w:t>
      </w:r>
    </w:p>
    <w:p w14:paraId="772BB165" w14:textId="13158C72" w:rsidR="00E13383" w:rsidRDefault="001460F8" w:rsidP="000F6D73">
      <w:pPr>
        <w:numPr>
          <w:ilvl w:val="0"/>
          <w:numId w:val="23"/>
        </w:numPr>
        <w:spacing w:line="300" w:lineRule="exact"/>
        <w:ind w:left="567" w:hanging="567"/>
        <w:contextualSpacing/>
        <w:jc w:val="left"/>
      </w:pPr>
      <w:r w:rsidRPr="001460F8">
        <w:t>Ability and willingness to learn about relevant areas of legislation and regulatory compliance.</w:t>
      </w:r>
    </w:p>
    <w:p w14:paraId="3CB9A976" w14:textId="087528F8" w:rsidR="007B6DB3" w:rsidRDefault="007B6DB3" w:rsidP="000F6D73">
      <w:pPr>
        <w:numPr>
          <w:ilvl w:val="0"/>
          <w:numId w:val="23"/>
        </w:numPr>
        <w:spacing w:line="300" w:lineRule="exact"/>
        <w:ind w:left="567" w:hanging="567"/>
        <w:contextualSpacing/>
        <w:jc w:val="left"/>
      </w:pPr>
      <w:r>
        <w:t>Ability to provide insight on sector developments (e.g. disciplines or polices that would help inform Senate decision-making.</w:t>
      </w:r>
    </w:p>
    <w:p w14:paraId="4DD4DF0B" w14:textId="7F48A3E1" w:rsidR="00F06A1C" w:rsidRDefault="00261101" w:rsidP="000F6D73">
      <w:pPr>
        <w:numPr>
          <w:ilvl w:val="0"/>
          <w:numId w:val="23"/>
        </w:numPr>
        <w:spacing w:line="300" w:lineRule="exact"/>
        <w:ind w:left="567" w:hanging="567"/>
        <w:contextualSpacing/>
        <w:jc w:val="left"/>
      </w:pPr>
      <w:r>
        <w:t>K</w:t>
      </w:r>
      <w:r w:rsidR="00260357">
        <w:t>een interest in the academic endeavour</w:t>
      </w:r>
      <w:r w:rsidR="00BE604D">
        <w:t xml:space="preserve">, i.e. </w:t>
      </w:r>
      <w:r w:rsidR="00F712D8">
        <w:t>promoting</w:t>
      </w:r>
      <w:r w:rsidR="00BE604D" w:rsidRPr="00BE604D">
        <w:t xml:space="preserve"> knowledge and understanding includ</w:t>
      </w:r>
      <w:r w:rsidR="00BE604D">
        <w:t>ing</w:t>
      </w:r>
      <w:r w:rsidR="00BE604D" w:rsidRPr="00BE604D">
        <w:t xml:space="preserve"> teaching, teaching methods, learning, researching, accessing and sharing information, publishing, and participating in professional </w:t>
      </w:r>
      <w:r w:rsidR="001D720E" w:rsidRPr="00BE604D">
        <w:t>activities.</w:t>
      </w:r>
    </w:p>
    <w:p w14:paraId="0AB84A76" w14:textId="7028BAC6" w:rsidR="001460F8" w:rsidRDefault="00261101" w:rsidP="00260357">
      <w:pPr>
        <w:numPr>
          <w:ilvl w:val="0"/>
          <w:numId w:val="23"/>
        </w:numPr>
        <w:spacing w:line="300" w:lineRule="exact"/>
        <w:ind w:left="567" w:hanging="567"/>
        <w:contextualSpacing/>
        <w:jc w:val="left"/>
      </w:pPr>
      <w:r>
        <w:t>C</w:t>
      </w:r>
      <w:r w:rsidR="00260357">
        <w:t xml:space="preserve">ommitment to promoting and embedding </w:t>
      </w:r>
      <w:r w:rsidR="00B57D15">
        <w:t xml:space="preserve">equality, </w:t>
      </w:r>
      <w:r w:rsidR="00260357">
        <w:t>diversity and inclusion</w:t>
      </w:r>
      <w:r w:rsidR="00B57D15">
        <w:t>.</w:t>
      </w:r>
    </w:p>
    <w:p w14:paraId="659235BD" w14:textId="5BEB0E1D" w:rsidR="00BE604D" w:rsidRPr="001460F8" w:rsidRDefault="00BE604D" w:rsidP="00260357">
      <w:pPr>
        <w:numPr>
          <w:ilvl w:val="0"/>
          <w:numId w:val="23"/>
        </w:numPr>
        <w:spacing w:line="300" w:lineRule="exact"/>
        <w:ind w:left="567" w:hanging="567"/>
        <w:contextualSpacing/>
        <w:jc w:val="left"/>
      </w:pPr>
      <w:r>
        <w:t>C</w:t>
      </w:r>
      <w:r w:rsidRPr="00BE604D">
        <w:t>ommitment to promoting and embedding sustainability within the University</w:t>
      </w:r>
      <w:r>
        <w:t>.</w:t>
      </w:r>
    </w:p>
    <w:p w14:paraId="5B0D483D" w14:textId="1B8D2D8C" w:rsidR="001460F8" w:rsidRPr="001460F8" w:rsidRDefault="001460F8" w:rsidP="00260357">
      <w:pPr>
        <w:numPr>
          <w:ilvl w:val="0"/>
          <w:numId w:val="23"/>
        </w:numPr>
        <w:spacing w:line="300" w:lineRule="exact"/>
        <w:ind w:left="567" w:hanging="567"/>
        <w:contextualSpacing/>
        <w:jc w:val="left"/>
      </w:pPr>
      <w:r w:rsidRPr="001460F8">
        <w:t xml:space="preserve">Ability and willingness to </w:t>
      </w:r>
      <w:r w:rsidR="00260357">
        <w:t xml:space="preserve">dedicate sufficient time to fulfilling this role, </w:t>
      </w:r>
      <w:r w:rsidR="00613A50">
        <w:t>including</w:t>
      </w:r>
      <w:r w:rsidR="00260357">
        <w:t xml:space="preserve"> any </w:t>
      </w:r>
      <w:r w:rsidR="00613A50">
        <w:t xml:space="preserve">additional </w:t>
      </w:r>
      <w:r w:rsidR="00260357">
        <w:t>committee requirements.</w:t>
      </w:r>
    </w:p>
    <w:p w14:paraId="0919CD2B" w14:textId="3DE0928F" w:rsidR="001460F8" w:rsidRPr="001460F8" w:rsidRDefault="001460F8" w:rsidP="001460F8">
      <w:pPr>
        <w:spacing w:after="0"/>
        <w:rPr>
          <w:rFonts w:ascii="Calibri" w:hAnsi="Calibri"/>
          <w:szCs w:val="24"/>
          <w:lang w:eastAsia="en-GB"/>
        </w:rPr>
      </w:pPr>
    </w:p>
    <w:sectPr w:rsidR="001460F8" w:rsidRPr="001460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4BCC9" w14:textId="77777777" w:rsidR="00155490" w:rsidRDefault="00155490" w:rsidP="00BC78EC">
      <w:pPr>
        <w:spacing w:after="0"/>
      </w:pPr>
      <w:r>
        <w:separator/>
      </w:r>
    </w:p>
  </w:endnote>
  <w:endnote w:type="continuationSeparator" w:id="0">
    <w:p w14:paraId="2481351E" w14:textId="77777777" w:rsidR="00155490" w:rsidRDefault="00155490" w:rsidP="00BC78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E513F" w14:textId="77777777" w:rsidR="00155490" w:rsidRDefault="00155490" w:rsidP="00BC78EC">
      <w:pPr>
        <w:spacing w:after="0"/>
      </w:pPr>
      <w:r>
        <w:separator/>
      </w:r>
    </w:p>
  </w:footnote>
  <w:footnote w:type="continuationSeparator" w:id="0">
    <w:p w14:paraId="497A0D47" w14:textId="77777777" w:rsidR="00155490" w:rsidRDefault="00155490" w:rsidP="00BC78E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719FA"/>
    <w:multiLevelType w:val="hybridMultilevel"/>
    <w:tmpl w:val="7960DDBA"/>
    <w:lvl w:ilvl="0" w:tplc="A99E80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168BB"/>
    <w:multiLevelType w:val="hybridMultilevel"/>
    <w:tmpl w:val="223221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BD788D"/>
    <w:multiLevelType w:val="hybridMultilevel"/>
    <w:tmpl w:val="66CE7E00"/>
    <w:lvl w:ilvl="0" w:tplc="FFFFFFFF">
      <w:start w:val="1"/>
      <w:numFmt w:val="decimal"/>
      <w:lvlText w:val="%1."/>
      <w:lvlJc w:val="left"/>
      <w:pPr>
        <w:ind w:left="372" w:hanging="360"/>
      </w:pPr>
      <w:rPr>
        <w:rFonts w:asciiTheme="minorHAnsi" w:eastAsia="Times New Roman" w:hAnsiTheme="minorHAnsi" w:cstheme="minorHAnsi"/>
      </w:rPr>
    </w:lvl>
    <w:lvl w:ilvl="1" w:tplc="FFFFFFFF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1812" w:hanging="180"/>
      </w:pPr>
    </w:lvl>
    <w:lvl w:ilvl="3" w:tplc="0809000F">
      <w:start w:val="1"/>
      <w:numFmt w:val="decimal"/>
      <w:lvlText w:val="%4."/>
      <w:lvlJc w:val="left"/>
      <w:pPr>
        <w:ind w:left="2532" w:hanging="360"/>
      </w:pPr>
    </w:lvl>
    <w:lvl w:ilvl="4" w:tplc="FFFFFFFF" w:tentative="1">
      <w:start w:val="1"/>
      <w:numFmt w:val="lowerLetter"/>
      <w:lvlText w:val="%5."/>
      <w:lvlJc w:val="left"/>
      <w:pPr>
        <w:ind w:left="3252" w:hanging="360"/>
      </w:pPr>
    </w:lvl>
    <w:lvl w:ilvl="5" w:tplc="FFFFFFFF" w:tentative="1">
      <w:start w:val="1"/>
      <w:numFmt w:val="lowerRoman"/>
      <w:lvlText w:val="%6."/>
      <w:lvlJc w:val="right"/>
      <w:pPr>
        <w:ind w:left="3972" w:hanging="180"/>
      </w:pPr>
    </w:lvl>
    <w:lvl w:ilvl="6" w:tplc="FFFFFFFF" w:tentative="1">
      <w:start w:val="1"/>
      <w:numFmt w:val="decimal"/>
      <w:lvlText w:val="%7."/>
      <w:lvlJc w:val="left"/>
      <w:pPr>
        <w:ind w:left="4692" w:hanging="360"/>
      </w:pPr>
    </w:lvl>
    <w:lvl w:ilvl="7" w:tplc="FFFFFFFF" w:tentative="1">
      <w:start w:val="1"/>
      <w:numFmt w:val="lowerLetter"/>
      <w:lvlText w:val="%8."/>
      <w:lvlJc w:val="left"/>
      <w:pPr>
        <w:ind w:left="5412" w:hanging="360"/>
      </w:pPr>
    </w:lvl>
    <w:lvl w:ilvl="8" w:tplc="FFFFFFFF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" w15:restartNumberingAfterBreak="0">
    <w:nsid w:val="175E21E8"/>
    <w:multiLevelType w:val="hybridMultilevel"/>
    <w:tmpl w:val="A6626A90"/>
    <w:lvl w:ilvl="0" w:tplc="A8AEB8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D74367"/>
    <w:multiLevelType w:val="hybridMultilevel"/>
    <w:tmpl w:val="06F6860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73E67"/>
    <w:multiLevelType w:val="multilevel"/>
    <w:tmpl w:val="87589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6F582B"/>
    <w:multiLevelType w:val="hybridMultilevel"/>
    <w:tmpl w:val="8EDE5510"/>
    <w:lvl w:ilvl="0" w:tplc="E112E946">
      <w:start w:val="1"/>
      <w:numFmt w:val="decimal"/>
      <w:pStyle w:val="Numberedparagraphs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3361E1"/>
    <w:multiLevelType w:val="hybridMultilevel"/>
    <w:tmpl w:val="691CF40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07695E"/>
    <w:multiLevelType w:val="hybridMultilevel"/>
    <w:tmpl w:val="0BD668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61F96"/>
    <w:multiLevelType w:val="hybridMultilevel"/>
    <w:tmpl w:val="03ECC56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F5824"/>
    <w:multiLevelType w:val="multilevel"/>
    <w:tmpl w:val="2DE62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655C2A"/>
    <w:multiLevelType w:val="hybridMultilevel"/>
    <w:tmpl w:val="0C92B478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3AF6385"/>
    <w:multiLevelType w:val="hybridMultilevel"/>
    <w:tmpl w:val="50486CB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AD76E8"/>
    <w:multiLevelType w:val="hybridMultilevel"/>
    <w:tmpl w:val="541077B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F529E"/>
    <w:multiLevelType w:val="hybridMultilevel"/>
    <w:tmpl w:val="D5944558"/>
    <w:lvl w:ilvl="0" w:tplc="94EA4D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BF7AC0"/>
    <w:multiLevelType w:val="hybridMultilevel"/>
    <w:tmpl w:val="BE44C3BC"/>
    <w:lvl w:ilvl="0" w:tplc="EEBC2B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C83EEA"/>
    <w:multiLevelType w:val="hybridMultilevel"/>
    <w:tmpl w:val="A8AC78A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EF5C56"/>
    <w:multiLevelType w:val="multilevel"/>
    <w:tmpl w:val="1B107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CD5882"/>
    <w:multiLevelType w:val="hybridMultilevel"/>
    <w:tmpl w:val="6FC43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EB6F8B"/>
    <w:multiLevelType w:val="multilevel"/>
    <w:tmpl w:val="62804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D96FA0"/>
    <w:multiLevelType w:val="multilevel"/>
    <w:tmpl w:val="61C416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65329A"/>
    <w:multiLevelType w:val="hybridMultilevel"/>
    <w:tmpl w:val="0EDC7AC6"/>
    <w:lvl w:ilvl="0" w:tplc="0809000F">
      <w:start w:val="1"/>
      <w:numFmt w:val="decimal"/>
      <w:lvlText w:val="%1."/>
      <w:lvlJc w:val="left"/>
      <w:pPr>
        <w:ind w:left="253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D61DD3"/>
    <w:multiLevelType w:val="hybridMultilevel"/>
    <w:tmpl w:val="C5E457C6"/>
    <w:lvl w:ilvl="0" w:tplc="0809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7E6B1994"/>
    <w:multiLevelType w:val="multilevel"/>
    <w:tmpl w:val="D3C6ECE6"/>
    <w:lvl w:ilvl="0">
      <w:start w:val="1"/>
      <w:numFmt w:val="decimal"/>
      <w:pStyle w:val="Bulleted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7E990DCF"/>
    <w:multiLevelType w:val="hybridMultilevel"/>
    <w:tmpl w:val="8A1AA51A"/>
    <w:lvl w:ilvl="0" w:tplc="EEBC2BC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4291633">
    <w:abstractNumId w:val="24"/>
  </w:num>
  <w:num w:numId="2" w16cid:durableId="256520276">
    <w:abstractNumId w:val="3"/>
  </w:num>
  <w:num w:numId="3" w16cid:durableId="1413896841">
    <w:abstractNumId w:val="23"/>
  </w:num>
  <w:num w:numId="4" w16cid:durableId="1520045618">
    <w:abstractNumId w:val="24"/>
  </w:num>
  <w:num w:numId="5" w16cid:durableId="26880866">
    <w:abstractNumId w:val="1"/>
  </w:num>
  <w:num w:numId="6" w16cid:durableId="131406672">
    <w:abstractNumId w:val="18"/>
  </w:num>
  <w:num w:numId="7" w16cid:durableId="15809845">
    <w:abstractNumId w:val="5"/>
  </w:num>
  <w:num w:numId="8" w16cid:durableId="1819102743">
    <w:abstractNumId w:val="19"/>
  </w:num>
  <w:num w:numId="9" w16cid:durableId="289823415">
    <w:abstractNumId w:val="10"/>
  </w:num>
  <w:num w:numId="10" w16cid:durableId="507673112">
    <w:abstractNumId w:val="17"/>
  </w:num>
  <w:num w:numId="11" w16cid:durableId="227422645">
    <w:abstractNumId w:val="20"/>
  </w:num>
  <w:num w:numId="12" w16cid:durableId="1688944347">
    <w:abstractNumId w:val="13"/>
  </w:num>
  <w:num w:numId="13" w16cid:durableId="1762413825">
    <w:abstractNumId w:val="22"/>
  </w:num>
  <w:num w:numId="14" w16cid:durableId="231815006">
    <w:abstractNumId w:val="9"/>
  </w:num>
  <w:num w:numId="15" w16cid:durableId="928198924">
    <w:abstractNumId w:val="24"/>
    <w:lvlOverride w:ilvl="0">
      <w:lvl w:ilvl="0" w:tplc="EEBC2BCC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6" w16cid:durableId="686255862">
    <w:abstractNumId w:val="6"/>
  </w:num>
  <w:num w:numId="17" w16cid:durableId="1843423804">
    <w:abstractNumId w:val="15"/>
  </w:num>
  <w:num w:numId="18" w16cid:durableId="1956910793">
    <w:abstractNumId w:val="14"/>
  </w:num>
  <w:num w:numId="19" w16cid:durableId="1385368320">
    <w:abstractNumId w:val="7"/>
  </w:num>
  <w:num w:numId="20" w16cid:durableId="2140222693">
    <w:abstractNumId w:val="16"/>
  </w:num>
  <w:num w:numId="21" w16cid:durableId="1939018468">
    <w:abstractNumId w:val="12"/>
  </w:num>
  <w:num w:numId="22" w16cid:durableId="1578786721">
    <w:abstractNumId w:val="2"/>
  </w:num>
  <w:num w:numId="23" w16cid:durableId="2138915495">
    <w:abstractNumId w:val="21"/>
  </w:num>
  <w:num w:numId="24" w16cid:durableId="1315449181">
    <w:abstractNumId w:val="0"/>
  </w:num>
  <w:num w:numId="25" w16cid:durableId="713046320">
    <w:abstractNumId w:val="4"/>
  </w:num>
  <w:num w:numId="26" w16cid:durableId="718168751">
    <w:abstractNumId w:val="8"/>
  </w:num>
  <w:num w:numId="27" w16cid:durableId="8171848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5"/>
    <w:rsid w:val="00023A95"/>
    <w:rsid w:val="00054516"/>
    <w:rsid w:val="000670DB"/>
    <w:rsid w:val="00086DB1"/>
    <w:rsid w:val="001174D6"/>
    <w:rsid w:val="00127B06"/>
    <w:rsid w:val="001460F8"/>
    <w:rsid w:val="00147EC8"/>
    <w:rsid w:val="00155490"/>
    <w:rsid w:val="0017578D"/>
    <w:rsid w:val="001D27A3"/>
    <w:rsid w:val="001D720E"/>
    <w:rsid w:val="001F2B06"/>
    <w:rsid w:val="0024337B"/>
    <w:rsid w:val="00260357"/>
    <w:rsid w:val="0026057B"/>
    <w:rsid w:val="00261101"/>
    <w:rsid w:val="00284738"/>
    <w:rsid w:val="002A47F1"/>
    <w:rsid w:val="002F5159"/>
    <w:rsid w:val="003224DA"/>
    <w:rsid w:val="0032366E"/>
    <w:rsid w:val="00327A77"/>
    <w:rsid w:val="0033685E"/>
    <w:rsid w:val="00344198"/>
    <w:rsid w:val="003D2AD9"/>
    <w:rsid w:val="0041773B"/>
    <w:rsid w:val="00440580"/>
    <w:rsid w:val="004F0D05"/>
    <w:rsid w:val="004F1DFF"/>
    <w:rsid w:val="00513F3C"/>
    <w:rsid w:val="005177C8"/>
    <w:rsid w:val="005231FD"/>
    <w:rsid w:val="005538D3"/>
    <w:rsid w:val="00561C52"/>
    <w:rsid w:val="0056574E"/>
    <w:rsid w:val="005715C0"/>
    <w:rsid w:val="005A31A2"/>
    <w:rsid w:val="005F67A0"/>
    <w:rsid w:val="00613A50"/>
    <w:rsid w:val="0062759E"/>
    <w:rsid w:val="00642B6F"/>
    <w:rsid w:val="006A6F8F"/>
    <w:rsid w:val="007179C9"/>
    <w:rsid w:val="0073197C"/>
    <w:rsid w:val="0073487A"/>
    <w:rsid w:val="00747391"/>
    <w:rsid w:val="0076696C"/>
    <w:rsid w:val="007B0A82"/>
    <w:rsid w:val="007B6DB3"/>
    <w:rsid w:val="007C22C0"/>
    <w:rsid w:val="0080633A"/>
    <w:rsid w:val="00820BF9"/>
    <w:rsid w:val="00831E76"/>
    <w:rsid w:val="00832A05"/>
    <w:rsid w:val="008817B0"/>
    <w:rsid w:val="00882C36"/>
    <w:rsid w:val="008B0158"/>
    <w:rsid w:val="00931CDF"/>
    <w:rsid w:val="0093311A"/>
    <w:rsid w:val="009B4CEC"/>
    <w:rsid w:val="009D576A"/>
    <w:rsid w:val="00A409A4"/>
    <w:rsid w:val="00A608C2"/>
    <w:rsid w:val="00AE4E94"/>
    <w:rsid w:val="00B15E57"/>
    <w:rsid w:val="00B213CE"/>
    <w:rsid w:val="00B24853"/>
    <w:rsid w:val="00B30F45"/>
    <w:rsid w:val="00B37F74"/>
    <w:rsid w:val="00B57D15"/>
    <w:rsid w:val="00B73DF3"/>
    <w:rsid w:val="00B869B3"/>
    <w:rsid w:val="00BB1168"/>
    <w:rsid w:val="00BB2634"/>
    <w:rsid w:val="00BC78EC"/>
    <w:rsid w:val="00BE604D"/>
    <w:rsid w:val="00BE666D"/>
    <w:rsid w:val="00C2775A"/>
    <w:rsid w:val="00C40554"/>
    <w:rsid w:val="00C5087A"/>
    <w:rsid w:val="00C563F9"/>
    <w:rsid w:val="00C744DD"/>
    <w:rsid w:val="00D539DD"/>
    <w:rsid w:val="00D65D49"/>
    <w:rsid w:val="00DC10F7"/>
    <w:rsid w:val="00DC1FFA"/>
    <w:rsid w:val="00DD06E5"/>
    <w:rsid w:val="00DD545A"/>
    <w:rsid w:val="00DE3DEE"/>
    <w:rsid w:val="00DE3F8E"/>
    <w:rsid w:val="00DE7DF3"/>
    <w:rsid w:val="00E13383"/>
    <w:rsid w:val="00E30746"/>
    <w:rsid w:val="00E71299"/>
    <w:rsid w:val="00EE38DA"/>
    <w:rsid w:val="00F06A1C"/>
    <w:rsid w:val="00F16E67"/>
    <w:rsid w:val="00F42979"/>
    <w:rsid w:val="00F4648D"/>
    <w:rsid w:val="00F70A54"/>
    <w:rsid w:val="00F712D8"/>
    <w:rsid w:val="00F96FA6"/>
    <w:rsid w:val="00FB26CA"/>
    <w:rsid w:val="00FB738F"/>
    <w:rsid w:val="00FD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B9E92"/>
  <w15:chartTrackingRefBased/>
  <w15:docId w15:val="{A496590B-FE48-4442-883F-B5CB79259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554"/>
    <w:pPr>
      <w:spacing w:line="240" w:lineRule="auto"/>
      <w:jc w:val="both"/>
    </w:pPr>
    <w:rPr>
      <w:rFonts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BC78EC"/>
    <w:pPr>
      <w:keepNext/>
      <w:tabs>
        <w:tab w:val="left" w:pos="720"/>
        <w:tab w:val="left" w:pos="5850"/>
        <w:tab w:val="left" w:pos="8460"/>
      </w:tabs>
      <w:spacing w:line="240" w:lineRule="atLeast"/>
      <w:jc w:val="center"/>
      <w:outlineLvl w:val="0"/>
    </w:pPr>
    <w:rPr>
      <w:b/>
      <w:color w:val="2F5496" w:themeColor="accent1" w:themeShade="BF"/>
      <w:sz w:val="32"/>
    </w:rPr>
  </w:style>
  <w:style w:type="paragraph" w:styleId="Heading2">
    <w:name w:val="heading 2"/>
    <w:basedOn w:val="Heading3"/>
    <w:next w:val="Normal"/>
    <w:link w:val="Heading2Char"/>
    <w:autoRedefine/>
    <w:qFormat/>
    <w:rsid w:val="00F42979"/>
    <w:pPr>
      <w:keepLines w:val="0"/>
      <w:tabs>
        <w:tab w:val="left" w:pos="720"/>
        <w:tab w:val="left" w:pos="5850"/>
        <w:tab w:val="left" w:pos="8460"/>
      </w:tabs>
      <w:spacing w:before="0" w:after="120"/>
      <w:jc w:val="left"/>
      <w:outlineLvl w:val="1"/>
    </w:pPr>
    <w:rPr>
      <w:rFonts w:eastAsia="Times New Roman" w:cstheme="minorBidi"/>
      <w:bCs/>
      <w:color w:val="2F5496" w:themeColor="accent1" w:themeShade="BF"/>
      <w:szCs w:val="2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538D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8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BB116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BB116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paragraphs">
    <w:name w:val="Numbered paragraphs"/>
    <w:basedOn w:val="Normal"/>
    <w:autoRedefine/>
    <w:qFormat/>
    <w:rsid w:val="00147EC8"/>
    <w:pPr>
      <w:numPr>
        <w:numId w:val="16"/>
      </w:numPr>
      <w:jc w:val="left"/>
    </w:pPr>
  </w:style>
  <w:style w:type="paragraph" w:customStyle="1" w:styleId="Bulletedparagraph">
    <w:name w:val="Bulleted paragraph"/>
    <w:basedOn w:val="ListParagraph"/>
    <w:link w:val="BulletedparagraphChar"/>
    <w:qFormat/>
    <w:rsid w:val="00F70A54"/>
    <w:pPr>
      <w:numPr>
        <w:numId w:val="3"/>
      </w:numPr>
      <w:ind w:left="357" w:hanging="357"/>
    </w:pPr>
    <w:rPr>
      <w:rFonts w:ascii="Times New Roman" w:hAnsi="Times New Roman"/>
    </w:rPr>
  </w:style>
  <w:style w:type="character" w:customStyle="1" w:styleId="BulletedparagraphChar">
    <w:name w:val="Bulleted paragraph Char"/>
    <w:basedOn w:val="DefaultParagraphFont"/>
    <w:link w:val="Bulletedparagraph"/>
    <w:rsid w:val="00F70A5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70A54"/>
    <w:pPr>
      <w:ind w:left="720"/>
      <w:contextualSpacing/>
    </w:pPr>
  </w:style>
  <w:style w:type="paragraph" w:customStyle="1" w:styleId="AppendixMainheader">
    <w:name w:val="Appendix Main header"/>
    <w:basedOn w:val="Heading1"/>
    <w:link w:val="AppendixMainheaderChar"/>
    <w:qFormat/>
    <w:rsid w:val="00F70A54"/>
    <w:rPr>
      <w:b w:val="0"/>
      <w:bCs/>
    </w:rPr>
  </w:style>
  <w:style w:type="character" w:customStyle="1" w:styleId="AppendixMainheaderChar">
    <w:name w:val="Appendix Main header Char"/>
    <w:basedOn w:val="Heading1Char"/>
    <w:link w:val="AppendixMainheader"/>
    <w:rsid w:val="00F70A54"/>
    <w:rPr>
      <w:rFonts w:asciiTheme="majorHAnsi" w:eastAsiaTheme="majorEastAsia" w:hAnsiTheme="majorHAnsi" w:cstheme="majorBidi"/>
      <w:b w:val="0"/>
      <w:bCs/>
      <w:color w:val="2F5496" w:themeColor="accent1" w:themeShade="BF"/>
      <w:sz w:val="32"/>
      <w:szCs w:val="32"/>
      <w:lang w:eastAsia="en-GB"/>
    </w:rPr>
  </w:style>
  <w:style w:type="character" w:customStyle="1" w:styleId="Heading1Char">
    <w:name w:val="Heading 1 Char"/>
    <w:basedOn w:val="DefaultParagraphFont"/>
    <w:link w:val="Heading1"/>
    <w:rsid w:val="00BC78EC"/>
    <w:rPr>
      <w:rFonts w:cs="Times New Roman"/>
      <w:b/>
      <w:color w:val="2F5496" w:themeColor="accent1" w:themeShade="BF"/>
      <w:sz w:val="32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BB1168"/>
    <w:rPr>
      <w:rFonts w:asciiTheme="majorHAnsi" w:eastAsiaTheme="majorEastAsia" w:hAnsiTheme="majorHAnsi" w:cstheme="majorBidi"/>
      <w:i/>
      <w:iCs/>
      <w:color w:val="2F5496" w:themeColor="accent1" w:themeShade="BF"/>
      <w:sz w:val="28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538D3"/>
    <w:rPr>
      <w:rFonts w:asciiTheme="majorHAnsi" w:eastAsiaTheme="majorEastAsia" w:hAnsiTheme="majorHAnsi" w:cstheme="majorBidi"/>
      <w:color w:val="1F3763" w:themeColor="accent1" w:themeShade="7F"/>
      <w:sz w:val="28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B1168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F42979"/>
    <w:rPr>
      <w:rFonts w:asciiTheme="majorHAnsi" w:hAnsiTheme="majorHAnsi"/>
      <w:bCs/>
      <w:color w:val="2F5496" w:themeColor="accent1" w:themeShade="BF"/>
      <w:sz w:val="28"/>
    </w:rPr>
  </w:style>
  <w:style w:type="paragraph" w:styleId="Header">
    <w:name w:val="header"/>
    <w:basedOn w:val="Normal"/>
    <w:link w:val="HeaderChar"/>
    <w:uiPriority w:val="99"/>
    <w:unhideWhenUsed/>
    <w:rsid w:val="00BC78E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C78EC"/>
    <w:rPr>
      <w:rFonts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C78E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C78EC"/>
    <w:rPr>
      <w:rFonts w:cs="Times New Roman"/>
      <w:sz w:val="24"/>
      <w:szCs w:val="20"/>
    </w:rPr>
  </w:style>
  <w:style w:type="character" w:styleId="Emphasis">
    <w:name w:val="Emphasis"/>
    <w:basedOn w:val="DefaultParagraphFont"/>
    <w:uiPriority w:val="20"/>
    <w:qFormat/>
    <w:rsid w:val="00BC78EC"/>
    <w:rPr>
      <w:i/>
      <w:iCs/>
    </w:rPr>
  </w:style>
  <w:style w:type="character" w:styleId="Hyperlink">
    <w:name w:val="Hyperlink"/>
    <w:basedOn w:val="DefaultParagraphFont"/>
    <w:uiPriority w:val="99"/>
    <w:unhideWhenUsed/>
    <w:rsid w:val="00BC78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78EC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5231FD"/>
    <w:rPr>
      <w:i/>
      <w:iCs/>
      <w:color w:val="404040" w:themeColor="text1" w:themeTint="BF"/>
    </w:rPr>
  </w:style>
  <w:style w:type="paragraph" w:customStyle="1" w:styleId="Subheading">
    <w:name w:val="Sub heading"/>
    <w:basedOn w:val="Normal"/>
    <w:qFormat/>
    <w:rsid w:val="005538D3"/>
    <w:rPr>
      <w:i/>
      <w:color w:val="2F5496" w:themeColor="accent1" w:themeShade="BF"/>
    </w:rPr>
  </w:style>
  <w:style w:type="table" w:styleId="TableGrid">
    <w:name w:val="Table Grid"/>
    <w:basedOn w:val="TableNormal"/>
    <w:uiPriority w:val="59"/>
    <w:rsid w:val="00DD545A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47391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DC10F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10F7"/>
    <w:rPr>
      <w:rFonts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C10F7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2C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2C36"/>
    <w:rPr>
      <w:rFonts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82C36"/>
    <w:pPr>
      <w:spacing w:after="0" w:line="240" w:lineRule="auto"/>
    </w:pPr>
    <w:rPr>
      <w:rFonts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th.ac.uk/teams/academic-staff-committee/" TargetMode="External"/><Relationship Id="rId13" Type="http://schemas.openxmlformats.org/officeDocument/2006/relationships/hyperlink" Target="https://www.bath.ac.uk/teams/redundancy-committee/" TargetMode="External"/><Relationship Id="rId18" Type="http://schemas.openxmlformats.org/officeDocument/2006/relationships/hyperlink" Target="https://www.bath.ac.uk/teams/academic-assembly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uk/government/publications/the-7-principles-of-public-life/the-7-principles-of-public-life--2" TargetMode="External"/><Relationship Id="rId7" Type="http://schemas.openxmlformats.org/officeDocument/2006/relationships/hyperlink" Target="https://www.bath.ac.uk/teams/academic-programmes-committee/" TargetMode="External"/><Relationship Id="rId12" Type="http://schemas.openxmlformats.org/officeDocument/2006/relationships/hyperlink" Target="https://www.bath.ac.uk/teams/honorary-degrees-committee/" TargetMode="External"/><Relationship Id="rId17" Type="http://schemas.openxmlformats.org/officeDocument/2006/relationships/hyperlink" Target="https://www.bath.ac.uk/teams/cour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ath.ac.uk/teams/council/" TargetMode="External"/><Relationship Id="rId20" Type="http://schemas.openxmlformats.org/officeDocument/2006/relationships/hyperlink" Target="https://www.bath.ac.uk/publications/university-ordinance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ath.ac.uk/teams/equality-diversity-and-inclusion-committe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bath.ac.uk/teams/senior-academic-appointments-committee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bath.ac.uk/teams/education-quality-and-standards-committee/" TargetMode="External"/><Relationship Id="rId19" Type="http://schemas.openxmlformats.org/officeDocument/2006/relationships/hyperlink" Target="https://www.bath.ac.uk/publications/statutes-of-the-university-of-bat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ath.ac.uk/teams/courses-and-partnerships-approval-committee/" TargetMode="External"/><Relationship Id="rId14" Type="http://schemas.openxmlformats.org/officeDocument/2006/relationships/hyperlink" Target="https://www.bath.ac.uk/teams/research-and-knowledge-exchange-committee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Commander</dc:creator>
  <cp:keywords/>
  <dc:description/>
  <cp:lastModifiedBy>Ruth Robins</cp:lastModifiedBy>
  <cp:revision>4</cp:revision>
  <dcterms:created xsi:type="dcterms:W3CDTF">2024-05-29T13:59:00Z</dcterms:created>
  <dcterms:modified xsi:type="dcterms:W3CDTF">2024-05-30T09:52:00Z</dcterms:modified>
</cp:coreProperties>
</file>