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68AB" w14:textId="320E944E" w:rsidR="006D0AF7" w:rsidRPr="006D0AF7" w:rsidRDefault="006D0AF7" w:rsidP="006D0AF7">
      <w:pPr>
        <w:spacing w:after="160" w:line="259" w:lineRule="auto"/>
        <w:ind w:left="0" w:firstLine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D0AF7">
        <w:rPr>
          <w:rFonts w:asciiTheme="minorHAnsi" w:hAnsiTheme="minorHAnsi" w:cstheme="minorHAnsi"/>
          <w:b/>
          <w:bCs/>
          <w:sz w:val="32"/>
          <w:szCs w:val="32"/>
        </w:rPr>
        <w:t>ACTION CARD IMD-</w:t>
      </w:r>
      <w:r w:rsidR="00F35BC6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6D0AF7">
        <w:rPr>
          <w:rFonts w:asciiTheme="minorHAnsi" w:hAnsiTheme="minorHAnsi" w:cstheme="minorHAnsi"/>
          <w:b/>
          <w:bCs/>
          <w:sz w:val="32"/>
          <w:szCs w:val="32"/>
        </w:rPr>
        <w:t xml:space="preserve"> (</w:t>
      </w:r>
      <w:r w:rsidR="00F35BC6">
        <w:rPr>
          <w:rFonts w:asciiTheme="minorHAnsi" w:hAnsiTheme="minorHAnsi" w:cstheme="minorHAnsi"/>
          <w:b/>
          <w:bCs/>
          <w:sz w:val="32"/>
          <w:szCs w:val="32"/>
        </w:rPr>
        <w:t>OUTBREAK</w:t>
      </w:r>
      <w:r w:rsidRPr="006D0AF7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387"/>
        <w:gridCol w:w="5146"/>
        <w:gridCol w:w="1731"/>
        <w:gridCol w:w="329"/>
      </w:tblGrid>
      <w:tr w:rsidR="00DE37FB" w:rsidRPr="002809CB" w14:paraId="0257CD5F" w14:textId="77777777" w:rsidTr="0065404A">
        <w:tc>
          <w:tcPr>
            <w:tcW w:w="2387" w:type="dxa"/>
          </w:tcPr>
          <w:p w14:paraId="11D00E06" w14:textId="185156F4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bookmarkStart w:id="0" w:name="_Hlk116298774"/>
            <w:r w:rsidRPr="00D10E15">
              <w:rPr>
                <w:rFonts w:asciiTheme="minorHAnsi" w:hAnsiTheme="minorHAnsi" w:cstheme="minorHAnsi"/>
                <w:b/>
                <w:bCs/>
              </w:rPr>
              <w:t xml:space="preserve">Theme </w:t>
            </w:r>
          </w:p>
        </w:tc>
        <w:tc>
          <w:tcPr>
            <w:tcW w:w="5146" w:type="dxa"/>
          </w:tcPr>
          <w:p w14:paraId="75B6B9CE" w14:textId="195E369A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D10E15">
              <w:rPr>
                <w:rFonts w:asciiTheme="minorHAnsi" w:hAnsiTheme="minorHAnsi" w:cstheme="minorHAnsi"/>
                <w:b/>
                <w:bCs/>
              </w:rPr>
              <w:t xml:space="preserve">Action </w:t>
            </w:r>
          </w:p>
        </w:tc>
        <w:tc>
          <w:tcPr>
            <w:tcW w:w="1731" w:type="dxa"/>
          </w:tcPr>
          <w:p w14:paraId="7E03102D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2809CB">
              <w:rPr>
                <w:rFonts w:asciiTheme="minorHAnsi" w:hAnsiTheme="minorHAnsi" w:cstheme="minorHAnsi"/>
                <w:b/>
                <w:bCs/>
              </w:rPr>
              <w:t>Lead Individual / Department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Organisation</w:t>
            </w:r>
          </w:p>
        </w:tc>
        <w:tc>
          <w:tcPr>
            <w:tcW w:w="329" w:type="dxa"/>
          </w:tcPr>
          <w:p w14:paraId="56908C00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2809CB">
              <w:rPr>
                <w:rFonts w:asciiTheme="minorHAnsi" w:hAnsiTheme="minorHAnsi" w:cstheme="minorHAnsi"/>
                <w:b/>
                <w:bCs/>
              </w:rPr>
              <w:t>√</w:t>
            </w:r>
          </w:p>
        </w:tc>
      </w:tr>
      <w:tr w:rsidR="00DE37FB" w:rsidRPr="002809CB" w14:paraId="1F788ED7" w14:textId="77777777" w:rsidTr="0065404A">
        <w:tc>
          <w:tcPr>
            <w:tcW w:w="2387" w:type="dxa"/>
            <w:shd w:val="clear" w:color="auto" w:fill="auto"/>
          </w:tcPr>
          <w:p w14:paraId="4E616499" w14:textId="5BF6E2BF" w:rsidR="00DE37FB" w:rsidRPr="00DE37FB" w:rsidRDefault="00DE37FB" w:rsidP="00F35BC6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asciiTheme="minorHAnsi" w:hAnsiTheme="minorHAnsi" w:cstheme="minorHAnsi"/>
                <w:b/>
                <w:bCs/>
              </w:rPr>
            </w:pPr>
            <w:r w:rsidRPr="00DE37FB">
              <w:rPr>
                <w:rFonts w:asciiTheme="minorHAnsi" w:hAnsiTheme="minorHAnsi" w:cstheme="minorHAnsi"/>
                <w:b/>
                <w:bCs/>
              </w:rPr>
              <w:t>Notification</w:t>
            </w:r>
          </w:p>
          <w:p w14:paraId="0EB8EF5B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46" w:type="dxa"/>
            <w:shd w:val="clear" w:color="auto" w:fill="auto"/>
          </w:tcPr>
          <w:p w14:paraId="52BB5DDF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843F71">
              <w:rPr>
                <w:rFonts w:asciiTheme="minorHAnsi" w:hAnsiTheme="minorHAnsi" w:cstheme="minorHAnsi"/>
              </w:rPr>
              <w:t>In hours (0800 – 1700 Monday – Friday) UKHSA will inform the University of an outbreak by contacting the Head of Organisational Resilience and Business Continuity (OR &amp; BC).</w:t>
            </w:r>
          </w:p>
          <w:p w14:paraId="790D247A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843F71">
              <w:rPr>
                <w:rFonts w:asciiTheme="minorHAnsi" w:hAnsiTheme="minorHAnsi" w:cstheme="minorHAnsi"/>
              </w:rPr>
              <w:t xml:space="preserve">Out of hours, UKHSA </w:t>
            </w:r>
            <w:r>
              <w:rPr>
                <w:rFonts w:asciiTheme="minorHAnsi" w:hAnsiTheme="minorHAnsi" w:cstheme="minorHAnsi"/>
              </w:rPr>
              <w:t>may</w:t>
            </w:r>
            <w:r w:rsidRPr="00843F71">
              <w:rPr>
                <w:rFonts w:asciiTheme="minorHAnsi" w:hAnsiTheme="minorHAnsi" w:cstheme="minorHAnsi"/>
              </w:rPr>
              <w:t xml:space="preserve"> contact Duty Security Team</w:t>
            </w:r>
            <w:r>
              <w:rPr>
                <w:rFonts w:asciiTheme="minorHAnsi" w:hAnsiTheme="minorHAnsi" w:cstheme="minorHAnsi"/>
              </w:rPr>
              <w:t xml:space="preserve"> if urgent actions required. </w:t>
            </w:r>
            <w:r w:rsidRPr="00843F71">
              <w:rPr>
                <w:rFonts w:asciiTheme="minorHAnsi" w:hAnsiTheme="minorHAnsi" w:cstheme="minorHAnsi"/>
              </w:rPr>
              <w:t>Duty Security Team to inform Head of Security Services who will notify Head of OR &amp; BC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F35BC6">
              <w:rPr>
                <w:rFonts w:asciiTheme="minorHAnsi" w:hAnsiTheme="minorHAnsi" w:cstheme="minorHAnsi"/>
              </w:rPr>
              <w:t>or the Director of Education and Student Support if the Head of OR &amp; BC is unavailable.</w:t>
            </w:r>
          </w:p>
          <w:p w14:paraId="083D4ED1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The University may become aware of an outbreak if </w:t>
            </w:r>
            <w:r w:rsidRPr="00FE6073">
              <w:rPr>
                <w:rFonts w:asciiTheme="minorHAnsi" w:hAnsiTheme="minorHAnsi" w:cstheme="minorHAnsi"/>
                <w:bCs/>
              </w:rPr>
              <w:t>two or more confirmed or probable cases occur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E6073">
              <w:rPr>
                <w:rFonts w:asciiTheme="minorHAnsi" w:hAnsiTheme="minorHAnsi" w:cstheme="minorHAnsi"/>
                <w:bCs/>
              </w:rPr>
              <w:t xml:space="preserve">within a four-week period </w:t>
            </w:r>
            <w:r>
              <w:rPr>
                <w:rFonts w:asciiTheme="minorHAnsi" w:hAnsiTheme="minorHAnsi" w:cstheme="minorHAnsi"/>
                <w:bCs/>
              </w:rPr>
              <w:t>with</w:t>
            </w:r>
            <w:r w:rsidRPr="00FE6073">
              <w:rPr>
                <w:rFonts w:asciiTheme="minorHAnsi" w:hAnsiTheme="minorHAnsi" w:cstheme="minorHAnsi"/>
                <w:bCs/>
              </w:rPr>
              <w:t xml:space="preserve"> an identified common link (e.g. same social network, same course and year, same hall of residence) and who are, or could be, infected by the same strain.</w:t>
            </w:r>
          </w:p>
          <w:p w14:paraId="7ADBD12D" w14:textId="340924FC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is likely that University is already responding to a probable / confirmed case with Silver IRT established. If not, Head of OR &amp; BC to inform </w:t>
            </w:r>
            <w:r w:rsidRPr="005B6C08">
              <w:rPr>
                <w:rFonts w:asciiTheme="minorHAnsi" w:hAnsiTheme="minorHAnsi" w:cstheme="minorHAnsi"/>
              </w:rPr>
              <w:t xml:space="preserve">Director of Education and Student Services </w:t>
            </w:r>
            <w:r>
              <w:rPr>
                <w:rFonts w:asciiTheme="minorHAnsi" w:hAnsiTheme="minorHAnsi" w:cstheme="minorHAnsi"/>
              </w:rPr>
              <w:t>who will</w:t>
            </w:r>
            <w:r w:rsidRPr="005B6C08">
              <w:rPr>
                <w:rFonts w:asciiTheme="minorHAnsi" w:hAnsiTheme="minorHAnsi" w:cstheme="minorHAnsi"/>
              </w:rPr>
              <w:t xml:space="preserve"> convene meeting (suggested membership in </w:t>
            </w:r>
            <w:hyperlink r:id="rId7" w:anchor="appendix-3-silver-incident-response-team-membership-guidance" w:history="1">
              <w:r w:rsidRPr="00FB6163">
                <w:rPr>
                  <w:rStyle w:val="Hyperlink"/>
                  <w:rFonts w:asciiTheme="minorHAnsi" w:hAnsiTheme="minorHAnsi" w:cstheme="minorHAnsi"/>
                </w:rPr>
                <w:t>appendix 3</w:t>
              </w:r>
            </w:hyperlink>
            <w:r w:rsidRPr="005B6C08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731" w:type="dxa"/>
            <w:shd w:val="clear" w:color="auto" w:fill="auto"/>
          </w:tcPr>
          <w:p w14:paraId="5DF4A16F" w14:textId="77777777" w:rsidR="00DE37FB" w:rsidRDefault="00DE37FB" w:rsidP="00DE37FB">
            <w:pPr>
              <w:spacing w:after="24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UKHSA</w:t>
            </w:r>
          </w:p>
          <w:p w14:paraId="6302C8A6" w14:textId="77777777" w:rsidR="00F35BC6" w:rsidRDefault="00F35BC6" w:rsidP="00F35BC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  <w:p w14:paraId="0EF82847" w14:textId="77777777" w:rsidR="008F3D86" w:rsidRDefault="008F3D86" w:rsidP="00F35BC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  <w:p w14:paraId="3FC30A2C" w14:textId="6F5C05B2" w:rsidR="00DE37FB" w:rsidRDefault="008F3D86" w:rsidP="008F3D8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Duty Security Team, Head of Security Services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3F9D772" w14:textId="77777777" w:rsidR="008F3D86" w:rsidRDefault="008F3D86" w:rsidP="008F3D8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  <w:p w14:paraId="58F2451C" w14:textId="77777777" w:rsidR="008F3D86" w:rsidRDefault="008F3D86" w:rsidP="008F3D8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  <w:p w14:paraId="2A4EBE4D" w14:textId="77777777" w:rsidR="008F3D86" w:rsidRDefault="008F3D86" w:rsidP="008F3D8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  <w:p w14:paraId="2B521F13" w14:textId="77777777" w:rsidR="008F3D86" w:rsidRDefault="008F3D86" w:rsidP="008F3D86">
            <w:pPr>
              <w:spacing w:after="240"/>
              <w:ind w:left="0" w:firstLine="0"/>
              <w:rPr>
                <w:rFonts w:asciiTheme="minorHAnsi" w:hAnsiTheme="minorHAnsi" w:cstheme="minorHAnsi"/>
              </w:rPr>
            </w:pPr>
          </w:p>
          <w:p w14:paraId="53B17164" w14:textId="5FCC6FB9" w:rsidR="00DE37FB" w:rsidRPr="00BA7825" w:rsidRDefault="00DE37FB" w:rsidP="00DE37FB">
            <w:pPr>
              <w:spacing w:after="24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of OR &amp; BC</w:t>
            </w:r>
            <w:r w:rsidR="008F3D86">
              <w:rPr>
                <w:rFonts w:asciiTheme="minorHAnsi" w:hAnsiTheme="minorHAnsi" w:cstheme="minorHAnsi"/>
              </w:rPr>
              <w:t>, Director of Education and Student Services</w:t>
            </w:r>
          </w:p>
        </w:tc>
        <w:tc>
          <w:tcPr>
            <w:tcW w:w="329" w:type="dxa"/>
            <w:shd w:val="clear" w:color="auto" w:fill="auto"/>
          </w:tcPr>
          <w:p w14:paraId="5957FC58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228E5B58" w14:textId="77777777" w:rsidTr="0065404A">
        <w:tc>
          <w:tcPr>
            <w:tcW w:w="2387" w:type="dxa"/>
            <w:shd w:val="clear" w:color="auto" w:fill="auto"/>
          </w:tcPr>
          <w:p w14:paraId="6F0CA3E5" w14:textId="1E8D651D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F4D1B">
              <w:rPr>
                <w:rFonts w:asciiTheme="minorHAnsi" w:hAnsiTheme="minorHAnsi" w:cstheme="minorHAnsi"/>
                <w:b/>
                <w:bCs/>
              </w:rPr>
              <w:t>First Aid / Immediate Medical Care</w:t>
            </w:r>
          </w:p>
        </w:tc>
        <w:tc>
          <w:tcPr>
            <w:tcW w:w="5146" w:type="dxa"/>
            <w:shd w:val="clear" w:color="auto" w:fill="auto"/>
          </w:tcPr>
          <w:p w14:paraId="52F88792" w14:textId="361A110D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probable / confirmed cases will be receiving medical care in hospital.</w:t>
            </w:r>
          </w:p>
        </w:tc>
        <w:tc>
          <w:tcPr>
            <w:tcW w:w="1731" w:type="dxa"/>
            <w:shd w:val="clear" w:color="auto" w:fill="auto"/>
          </w:tcPr>
          <w:p w14:paraId="2375BDCA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RUH or other hospital</w:t>
            </w:r>
          </w:p>
        </w:tc>
        <w:tc>
          <w:tcPr>
            <w:tcW w:w="329" w:type="dxa"/>
            <w:shd w:val="clear" w:color="auto" w:fill="auto"/>
          </w:tcPr>
          <w:p w14:paraId="76FEA860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4C2F58A0" w14:textId="77777777" w:rsidTr="0065404A">
        <w:tc>
          <w:tcPr>
            <w:tcW w:w="2387" w:type="dxa"/>
            <w:shd w:val="clear" w:color="auto" w:fill="auto"/>
          </w:tcPr>
          <w:p w14:paraId="4A530B2C" w14:textId="0A9DD1AD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F4D1B">
              <w:rPr>
                <w:rFonts w:asciiTheme="minorHAnsi" w:hAnsiTheme="minorHAnsi" w:cstheme="minorHAnsi"/>
                <w:b/>
                <w:bCs/>
              </w:rPr>
              <w:t>Diagnosis</w:t>
            </w:r>
          </w:p>
        </w:tc>
        <w:tc>
          <w:tcPr>
            <w:tcW w:w="5146" w:type="dxa"/>
            <w:shd w:val="clear" w:color="auto" w:fill="auto"/>
          </w:tcPr>
          <w:p w14:paraId="7D8D2A02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Each case will be investigated by the hospital</w:t>
            </w:r>
            <w:r w:rsidRPr="0008021A">
              <w:rPr>
                <w:rFonts w:asciiTheme="minorHAnsi" w:hAnsiTheme="minorHAnsi" w:cstheme="minorHAnsi"/>
              </w:rPr>
              <w:t xml:space="preserve"> (clinical observations and lab work).</w:t>
            </w:r>
          </w:p>
          <w:p w14:paraId="31C5924D" w14:textId="2B918FD4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072378">
              <w:rPr>
                <w:rFonts w:asciiTheme="minorHAnsi" w:hAnsiTheme="minorHAnsi" w:cstheme="minorHAnsi"/>
              </w:rPr>
              <w:t>UKHSA will update the Head of OR &amp; BC in hours and the Security Team out of hours if urgent.</w:t>
            </w:r>
          </w:p>
        </w:tc>
        <w:tc>
          <w:tcPr>
            <w:tcW w:w="1731" w:type="dxa"/>
            <w:shd w:val="clear" w:color="auto" w:fill="auto"/>
          </w:tcPr>
          <w:p w14:paraId="038A6AD2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RUH or other hospital</w:t>
            </w:r>
          </w:p>
          <w:p w14:paraId="70309B68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UKHSA</w:t>
            </w:r>
          </w:p>
        </w:tc>
        <w:tc>
          <w:tcPr>
            <w:tcW w:w="329" w:type="dxa"/>
            <w:shd w:val="clear" w:color="auto" w:fill="auto"/>
          </w:tcPr>
          <w:p w14:paraId="13C6C990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72245384" w14:textId="77777777" w:rsidTr="0065404A">
        <w:tc>
          <w:tcPr>
            <w:tcW w:w="2387" w:type="dxa"/>
            <w:shd w:val="clear" w:color="auto" w:fill="FFFFFF" w:themeFill="background1"/>
          </w:tcPr>
          <w:p w14:paraId="4F67DE9F" w14:textId="7685524C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Contact Tracing </w:t>
            </w:r>
          </w:p>
        </w:tc>
        <w:tc>
          <w:tcPr>
            <w:tcW w:w="5146" w:type="dxa"/>
            <w:shd w:val="clear" w:color="auto" w:fill="FFFFFF" w:themeFill="background1"/>
          </w:tcPr>
          <w:p w14:paraId="0DAD3E7B" w14:textId="4A42AD41" w:rsidR="008F3D86" w:rsidRPr="00DE2543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DE2543">
              <w:rPr>
                <w:rFonts w:asciiTheme="minorHAnsi" w:hAnsiTheme="minorHAnsi" w:cstheme="minorHAnsi"/>
              </w:rPr>
              <w:t>UKHSA responsible for identifying and informing close contacts of case</w:t>
            </w:r>
            <w:r>
              <w:rPr>
                <w:rFonts w:asciiTheme="minorHAnsi" w:hAnsiTheme="minorHAnsi" w:cstheme="minorHAnsi"/>
              </w:rPr>
              <w:t>s</w:t>
            </w:r>
            <w:r w:rsidRPr="00DE2543">
              <w:rPr>
                <w:rFonts w:asciiTheme="minorHAnsi" w:hAnsiTheme="minorHAnsi" w:cstheme="minorHAnsi"/>
              </w:rPr>
              <w:t xml:space="preserve"> and actions required.</w:t>
            </w:r>
          </w:p>
          <w:p w14:paraId="12AF0B96" w14:textId="1746E989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DE2543">
              <w:rPr>
                <w:rFonts w:asciiTheme="minorHAnsi" w:hAnsiTheme="minorHAnsi" w:cstheme="minorHAnsi"/>
              </w:rPr>
              <w:t>UKHSA may request assistance. Head of OR &amp; BC will receive request and pass to Student Support and Safeguarding Team. Head of OR &amp; BC Manager to share requested information (if available) with UKHSA via encrypted email.</w:t>
            </w:r>
          </w:p>
        </w:tc>
        <w:tc>
          <w:tcPr>
            <w:tcW w:w="1731" w:type="dxa"/>
            <w:shd w:val="clear" w:color="auto" w:fill="FFFFFF" w:themeFill="background1"/>
          </w:tcPr>
          <w:p w14:paraId="278223C9" w14:textId="7AFD75C5" w:rsidR="008F3D86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809CB">
              <w:rPr>
                <w:rFonts w:asciiTheme="minorHAnsi" w:hAnsiTheme="minorHAnsi" w:cstheme="minorHAnsi"/>
              </w:rPr>
              <w:t>UKHSA</w:t>
            </w:r>
          </w:p>
          <w:p w14:paraId="4BF3AF3B" w14:textId="4AD5723F" w:rsidR="00DE37FB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Head for OR &amp; BC, </w:t>
            </w:r>
            <w:r w:rsidR="00DE37FB">
              <w:rPr>
                <w:rFonts w:asciiTheme="minorHAnsi" w:hAnsiTheme="minorHAnsi" w:cstheme="minorHAnsi"/>
              </w:rPr>
              <w:t>Student Support and Safeguarding Team and Head of OR &amp; BC</w:t>
            </w:r>
          </w:p>
          <w:p w14:paraId="5E964060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14:paraId="453089D4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670BA740" w14:textId="77777777" w:rsidTr="0065404A">
        <w:tc>
          <w:tcPr>
            <w:tcW w:w="2387" w:type="dxa"/>
            <w:shd w:val="clear" w:color="auto" w:fill="FFFFFF" w:themeFill="background1"/>
          </w:tcPr>
          <w:p w14:paraId="76A4F66C" w14:textId="5E5FEE41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Prophylaxis</w:t>
            </w:r>
          </w:p>
        </w:tc>
        <w:tc>
          <w:tcPr>
            <w:tcW w:w="5146" w:type="dxa"/>
            <w:shd w:val="clear" w:color="auto" w:fill="FFFFFF" w:themeFill="background1"/>
          </w:tcPr>
          <w:p w14:paraId="4B7A04AA" w14:textId="77777777" w:rsidR="00DE37FB" w:rsidRPr="007F4877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</w:rPr>
              <w:t>If required for close contacts, prophylaxis will be requested by UKHSA and prescribed by appropriate GP practice.</w:t>
            </w:r>
          </w:p>
          <w:p w14:paraId="2311D011" w14:textId="77777777" w:rsidR="00DE37FB" w:rsidRPr="007F4877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</w:rPr>
              <w:t>In hours, UKHSA will contact individual’s GP, who will issue prescription to be taken to a pharmacy where required medication can be collected.</w:t>
            </w:r>
          </w:p>
          <w:p w14:paraId="7D67DBA3" w14:textId="77777777" w:rsidR="00DE37FB" w:rsidRPr="007F4877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</w:rPr>
              <w:t xml:space="preserve">Any GP surgery (including University Medical Centre) can temporarily register any student to prescribe urgent prophylaxis. </w:t>
            </w:r>
          </w:p>
          <w:p w14:paraId="1461F6A7" w14:textId="5F2E4EC2" w:rsidR="00DE37FB" w:rsidRPr="007F4877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</w:rPr>
              <w:t xml:space="preserve">Out of hours, if prophylaxis is urgent, UKHSA will contact an out of hours GP to issue prescription to individual to be taken to a pharmacy with extended opening hours (see </w:t>
            </w:r>
            <w:hyperlink r:id="rId8" w:anchor="appendix-2-pharmacies-with-extended-opening-hours" w:history="1">
              <w:r w:rsidRPr="00FB6163">
                <w:rPr>
                  <w:rStyle w:val="Hyperlink"/>
                  <w:rFonts w:asciiTheme="minorHAnsi" w:hAnsiTheme="minorHAnsi" w:cstheme="minorHAnsi"/>
                </w:rPr>
                <w:t>appendix 2</w:t>
              </w:r>
            </w:hyperlink>
            <w:r w:rsidRPr="007F4877">
              <w:rPr>
                <w:rFonts w:asciiTheme="minorHAnsi" w:hAnsiTheme="minorHAnsi" w:cstheme="minorHAnsi"/>
              </w:rPr>
              <w:t xml:space="preserve">) where the medication will then be provided. </w:t>
            </w:r>
          </w:p>
          <w:p w14:paraId="7AEA6729" w14:textId="0D4010A8" w:rsidR="00DE37FB" w:rsidRPr="00332812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F4877">
              <w:rPr>
                <w:rFonts w:asciiTheme="minorHAnsi" w:hAnsiTheme="minorHAnsi" w:cstheme="minorHAnsi"/>
              </w:rPr>
              <w:t>If transport is required to collect prescription out of hours, Duty Security Team may be able to assist.</w:t>
            </w:r>
          </w:p>
        </w:tc>
        <w:tc>
          <w:tcPr>
            <w:tcW w:w="1731" w:type="dxa"/>
            <w:shd w:val="clear" w:color="auto" w:fill="FFFFFF" w:themeFill="background1"/>
          </w:tcPr>
          <w:p w14:paraId="0D848982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UKHSA and GP</w:t>
            </w:r>
          </w:p>
          <w:p w14:paraId="309BEC36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8C19EFE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6FD6C22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232A49D7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285F8FC1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751AA000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19790561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2D02AEF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170C04B8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Security Team</w:t>
            </w:r>
          </w:p>
        </w:tc>
        <w:tc>
          <w:tcPr>
            <w:tcW w:w="329" w:type="dxa"/>
            <w:shd w:val="clear" w:color="auto" w:fill="FFFFFF" w:themeFill="background1"/>
          </w:tcPr>
          <w:p w14:paraId="431DBDEB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65D03070" w14:textId="77777777" w:rsidTr="00D02A4E">
        <w:tc>
          <w:tcPr>
            <w:tcW w:w="2387" w:type="dxa"/>
            <w:shd w:val="clear" w:color="auto" w:fill="FFFFFF" w:themeFill="background1"/>
          </w:tcPr>
          <w:p w14:paraId="451C3C02" w14:textId="381475DC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Vaccinations</w:t>
            </w:r>
          </w:p>
        </w:tc>
        <w:tc>
          <w:tcPr>
            <w:tcW w:w="5146" w:type="dxa"/>
            <w:shd w:val="clear" w:color="auto" w:fill="FFFFFF" w:themeFill="background1"/>
          </w:tcPr>
          <w:p w14:paraId="33ADA6E1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9E1C6B">
              <w:rPr>
                <w:rFonts w:asciiTheme="minorHAnsi" w:hAnsiTheme="minorHAnsi" w:cstheme="minorHAnsi"/>
              </w:rPr>
              <w:t>If required, vaccinations for close contacts will be requested by UKHSA and administered by appropriate GP practice.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E1C6B">
              <w:rPr>
                <w:rFonts w:asciiTheme="minorHAnsi" w:hAnsiTheme="minorHAnsi" w:cstheme="minorHAnsi"/>
              </w:rPr>
              <w:t>UKHSA will contact individual’s GP, who will contact individual to arrange appointment for vaccination.</w:t>
            </w:r>
          </w:p>
          <w:p w14:paraId="42F8CB5B" w14:textId="27E7C282" w:rsidR="00DE37FB" w:rsidRPr="00A46D5D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 outbreak involves a high number of cases, UKHSA may advise that vaccinations should be promoted across the University. If this is the case, the University will work with UKHSA, BaNES </w:t>
            </w:r>
            <w:r w:rsidRPr="00A37B6B">
              <w:rPr>
                <w:rFonts w:asciiTheme="minorHAnsi" w:hAnsiTheme="minorHAnsi" w:cstheme="minorHAnsi"/>
              </w:rPr>
              <w:t>Health Protection Team and the NHS to support a</w:t>
            </w:r>
            <w:r>
              <w:rPr>
                <w:rFonts w:asciiTheme="minorHAnsi" w:hAnsiTheme="minorHAnsi" w:cstheme="minorHAnsi"/>
              </w:rPr>
              <w:t xml:space="preserve"> vaccination clinic on campus if possible.</w:t>
            </w:r>
          </w:p>
        </w:tc>
        <w:tc>
          <w:tcPr>
            <w:tcW w:w="1731" w:type="dxa"/>
            <w:shd w:val="clear" w:color="auto" w:fill="auto"/>
          </w:tcPr>
          <w:p w14:paraId="42EADA44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UKHSA and GP</w:t>
            </w:r>
          </w:p>
          <w:p w14:paraId="6EDDEE7D" w14:textId="77777777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1F976610" w14:textId="77777777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C09ACF5" w14:textId="676DE369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or OR &amp; BC and Communications Teams</w:t>
            </w:r>
          </w:p>
          <w:p w14:paraId="5D9E366D" w14:textId="77777777" w:rsidR="008F3D86" w:rsidRPr="002809CB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shd w:val="clear" w:color="auto" w:fill="auto"/>
          </w:tcPr>
          <w:p w14:paraId="199AE1AC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50C35B59" w14:textId="77777777" w:rsidTr="00D02A4E">
        <w:tc>
          <w:tcPr>
            <w:tcW w:w="2387" w:type="dxa"/>
            <w:shd w:val="clear" w:color="auto" w:fill="FFFFFF" w:themeFill="background1"/>
          </w:tcPr>
          <w:p w14:paraId="7EDF3849" w14:textId="6BA6DE7F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Communication &amp; Engagement</w:t>
            </w:r>
          </w:p>
        </w:tc>
        <w:tc>
          <w:tcPr>
            <w:tcW w:w="5146" w:type="dxa"/>
            <w:shd w:val="clear" w:color="auto" w:fill="FFFFFF" w:themeFill="background1"/>
          </w:tcPr>
          <w:p w14:paraId="105002E6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D211D2">
              <w:rPr>
                <w:rFonts w:asciiTheme="minorHAnsi" w:hAnsiTheme="minorHAnsi" w:cstheme="minorHAnsi"/>
              </w:rPr>
              <w:t>UKHSA will be responsible for communicating to close contacts.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12205">
              <w:rPr>
                <w:rFonts w:asciiTheme="minorHAnsi" w:hAnsiTheme="minorHAnsi" w:cstheme="minorHAnsi"/>
              </w:rPr>
              <w:t xml:space="preserve">Student Support Team to consider follow up ‘welfare </w:t>
            </w:r>
            <w:proofErr w:type="gramStart"/>
            <w:r w:rsidRPr="00212205">
              <w:rPr>
                <w:rFonts w:asciiTheme="minorHAnsi" w:hAnsiTheme="minorHAnsi" w:cstheme="minorHAnsi"/>
              </w:rPr>
              <w:t>checks’</w:t>
            </w:r>
            <w:proofErr w:type="gramEnd"/>
            <w:r w:rsidRPr="00212205">
              <w:rPr>
                <w:rFonts w:asciiTheme="minorHAnsi" w:hAnsiTheme="minorHAnsi" w:cstheme="minorHAnsi"/>
              </w:rPr>
              <w:t>.</w:t>
            </w:r>
          </w:p>
          <w:p w14:paraId="46AD9891" w14:textId="77777777" w:rsidR="008F3D86" w:rsidRPr="00D211D2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88BE57A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1E6BEB">
              <w:rPr>
                <w:rFonts w:asciiTheme="minorHAnsi" w:hAnsiTheme="minorHAnsi" w:cstheme="minorHAnsi"/>
              </w:rPr>
              <w:t>Communications Team to provide targeted messages to students and staff in the same hall of residence (where relevant) and on the same course(s) as the affected student</w:t>
            </w:r>
            <w:r>
              <w:rPr>
                <w:rFonts w:asciiTheme="minorHAnsi" w:hAnsiTheme="minorHAnsi" w:cstheme="minorHAnsi"/>
              </w:rPr>
              <w:t>s</w:t>
            </w:r>
            <w:r w:rsidRPr="001E6BEB">
              <w:rPr>
                <w:rFonts w:asciiTheme="minorHAnsi" w:hAnsiTheme="minorHAnsi" w:cstheme="minorHAnsi"/>
              </w:rPr>
              <w:t xml:space="preserve"> as advised by UKHSA. These messages must be prompt (in or out of hours) and include early symptoms and signs of meningococcal disease and access to medical care.</w:t>
            </w:r>
          </w:p>
          <w:p w14:paraId="2E8AB62D" w14:textId="48DF2803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37E15">
              <w:rPr>
                <w:rFonts w:asciiTheme="minorHAnsi" w:hAnsiTheme="minorHAnsi" w:cstheme="minorHAnsi"/>
              </w:rPr>
              <w:t xml:space="preserve">ommunication with </w:t>
            </w:r>
            <w:r>
              <w:rPr>
                <w:rFonts w:asciiTheme="minorHAnsi" w:hAnsiTheme="minorHAnsi" w:cstheme="minorHAnsi"/>
              </w:rPr>
              <w:t>the wider</w:t>
            </w:r>
            <w:r w:rsidRPr="00E37E15">
              <w:rPr>
                <w:rFonts w:asciiTheme="minorHAnsi" w:hAnsiTheme="minorHAnsi" w:cstheme="minorHAnsi"/>
              </w:rPr>
              <w:t xml:space="preserve"> University community</w:t>
            </w:r>
            <w:r>
              <w:rPr>
                <w:rFonts w:asciiTheme="minorHAnsi" w:hAnsiTheme="minorHAnsi" w:cstheme="minorHAnsi"/>
              </w:rPr>
              <w:t xml:space="preserve"> will be required with support from UKHSA and</w:t>
            </w:r>
            <w:r w:rsidRPr="00E37E15">
              <w:rPr>
                <w:rFonts w:asciiTheme="minorHAnsi" w:hAnsiTheme="minorHAnsi" w:cstheme="minorHAnsi"/>
              </w:rPr>
              <w:t xml:space="preserve"> a variety of channels should be used. Engage with </w:t>
            </w:r>
            <w:r w:rsidRPr="00E37E15">
              <w:rPr>
                <w:rFonts w:asciiTheme="minorHAnsi" w:hAnsiTheme="minorHAnsi" w:cstheme="minorHAnsi"/>
              </w:rPr>
              <w:lastRenderedPageBreak/>
              <w:t xml:space="preserve">charities (see </w:t>
            </w:r>
            <w:hyperlink r:id="rId9" w:anchor="appendix-1-contact-details" w:history="1">
              <w:r w:rsidRPr="00FB6163">
                <w:rPr>
                  <w:rStyle w:val="Hyperlink"/>
                  <w:rFonts w:asciiTheme="minorHAnsi" w:hAnsiTheme="minorHAnsi" w:cstheme="minorHAnsi"/>
                </w:rPr>
                <w:t>appendix 1</w:t>
              </w:r>
            </w:hyperlink>
            <w:r w:rsidRPr="00E37E15">
              <w:rPr>
                <w:rFonts w:asciiTheme="minorHAnsi" w:hAnsiTheme="minorHAnsi" w:cstheme="minorHAnsi"/>
              </w:rPr>
              <w:t>). Students to be encouraged to share messages posted on University’s official social media accounts where possible.</w:t>
            </w:r>
            <w:r>
              <w:rPr>
                <w:rFonts w:asciiTheme="minorHAnsi" w:hAnsiTheme="minorHAnsi" w:cstheme="minorHAnsi"/>
              </w:rPr>
              <w:t xml:space="preserve"> Meningitis Now and Meningitis Research Foundation (contact details in </w:t>
            </w:r>
            <w:hyperlink r:id="rId10" w:anchor="appendix-1-contact-details" w:history="1">
              <w:r w:rsidRPr="00FB6163">
                <w:rPr>
                  <w:rStyle w:val="Hyperlink"/>
                  <w:rFonts w:asciiTheme="minorHAnsi" w:hAnsiTheme="minorHAnsi" w:cstheme="minorHAnsi"/>
                </w:rPr>
                <w:t>appendix 1</w:t>
              </w:r>
            </w:hyperlink>
            <w:r>
              <w:rPr>
                <w:rFonts w:asciiTheme="minorHAnsi" w:hAnsiTheme="minorHAnsi" w:cstheme="minorHAnsi"/>
              </w:rPr>
              <w:t>) will be able to assist with resources for the required awareness raising campaign.</w:t>
            </w:r>
          </w:p>
        </w:tc>
        <w:tc>
          <w:tcPr>
            <w:tcW w:w="1731" w:type="dxa"/>
            <w:shd w:val="clear" w:color="auto" w:fill="auto"/>
          </w:tcPr>
          <w:p w14:paraId="1A7B95AC" w14:textId="7CC9F55B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UKHSA</w:t>
            </w:r>
            <w:r w:rsidR="008F3D86">
              <w:rPr>
                <w:rFonts w:asciiTheme="minorHAnsi" w:hAnsiTheme="minorHAnsi" w:cstheme="minorHAnsi"/>
              </w:rPr>
              <w:t>, Student Support and safeguarding team</w:t>
            </w:r>
          </w:p>
          <w:p w14:paraId="1229993D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0E88403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Communications Team</w:t>
            </w:r>
          </w:p>
          <w:p w14:paraId="26F43DBE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4BD9F23" w14:textId="77777777" w:rsidR="00F35BC6" w:rsidRDefault="00F35BC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2F1720D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3B10FE7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Communications Team</w:t>
            </w:r>
          </w:p>
        </w:tc>
        <w:tc>
          <w:tcPr>
            <w:tcW w:w="329" w:type="dxa"/>
            <w:shd w:val="clear" w:color="auto" w:fill="auto"/>
          </w:tcPr>
          <w:p w14:paraId="3ABBC6B8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222090E8" w14:textId="77777777" w:rsidTr="0065404A">
        <w:tc>
          <w:tcPr>
            <w:tcW w:w="2387" w:type="dxa"/>
            <w:shd w:val="clear" w:color="auto" w:fill="auto"/>
          </w:tcPr>
          <w:p w14:paraId="71944011" w14:textId="6538D5F9" w:rsidR="00DE37FB" w:rsidRPr="002809CB" w:rsidRDefault="00DE37FB" w:rsidP="00F35BC6">
            <w:pPr>
              <w:numPr>
                <w:ilvl w:val="0"/>
                <w:numId w:val="9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65327">
              <w:rPr>
                <w:rFonts w:asciiTheme="minorHAnsi" w:hAnsiTheme="minorHAnsi" w:cstheme="minorHAnsi"/>
                <w:b/>
                <w:bCs/>
              </w:rPr>
              <w:t>Multi-Agency Working</w:t>
            </w:r>
          </w:p>
        </w:tc>
        <w:tc>
          <w:tcPr>
            <w:tcW w:w="5146" w:type="dxa"/>
            <w:shd w:val="clear" w:color="auto" w:fill="auto"/>
          </w:tcPr>
          <w:p w14:paraId="48E66ED9" w14:textId="77777777" w:rsidR="00DE37FB" w:rsidRPr="00E8412F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E8412F">
              <w:rPr>
                <w:rFonts w:asciiTheme="minorHAnsi" w:hAnsiTheme="minorHAnsi" w:cstheme="minorHAnsi"/>
              </w:rPr>
              <w:t>Re</w:t>
            </w:r>
            <w:r>
              <w:rPr>
                <w:rFonts w:asciiTheme="minorHAnsi" w:hAnsiTheme="minorHAnsi" w:cstheme="minorHAnsi"/>
              </w:rPr>
              <w:t xml:space="preserve">gular </w:t>
            </w:r>
            <w:r w:rsidRPr="00E8412F">
              <w:rPr>
                <w:rFonts w:asciiTheme="minorHAnsi" w:hAnsiTheme="minorHAnsi" w:cstheme="minorHAnsi"/>
              </w:rPr>
              <w:t>Incident Management Team (IMT) meeting</w:t>
            </w:r>
            <w:r>
              <w:rPr>
                <w:rFonts w:asciiTheme="minorHAnsi" w:hAnsiTheme="minorHAnsi" w:cstheme="minorHAnsi"/>
              </w:rPr>
              <w:t>s</w:t>
            </w:r>
            <w:r w:rsidRPr="00E8412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will be </w:t>
            </w:r>
            <w:r w:rsidRPr="00E8412F">
              <w:rPr>
                <w:rFonts w:asciiTheme="minorHAnsi" w:hAnsiTheme="minorHAnsi" w:cstheme="minorHAnsi"/>
              </w:rPr>
              <w:t>chaired by UKHSA</w:t>
            </w:r>
            <w:r>
              <w:rPr>
                <w:rFonts w:asciiTheme="minorHAnsi" w:hAnsiTheme="minorHAnsi" w:cstheme="minorHAnsi"/>
              </w:rPr>
              <w:t xml:space="preserve"> during the response to the outbreak</w:t>
            </w:r>
            <w:r w:rsidRPr="00E8412F">
              <w:rPr>
                <w:rFonts w:asciiTheme="minorHAnsi" w:hAnsiTheme="minorHAnsi" w:cstheme="minorHAnsi"/>
              </w:rPr>
              <w:t xml:space="preserve">. </w:t>
            </w:r>
          </w:p>
          <w:p w14:paraId="4B3766F4" w14:textId="77777777" w:rsidR="00DE37FB" w:rsidRPr="00E8412F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</w:t>
            </w:r>
            <w:r w:rsidRPr="00E8412F">
              <w:rPr>
                <w:rFonts w:asciiTheme="minorHAnsi" w:hAnsiTheme="minorHAnsi" w:cstheme="minorHAnsi"/>
              </w:rPr>
              <w:t xml:space="preserve"> internal </w:t>
            </w:r>
            <w:r>
              <w:rPr>
                <w:rFonts w:asciiTheme="minorHAnsi" w:hAnsiTheme="minorHAnsi" w:cstheme="minorHAnsi"/>
              </w:rPr>
              <w:t xml:space="preserve">Silver </w:t>
            </w:r>
            <w:r w:rsidRPr="00E8412F">
              <w:rPr>
                <w:rFonts w:asciiTheme="minorHAnsi" w:hAnsiTheme="minorHAnsi" w:cstheme="minorHAnsi"/>
              </w:rPr>
              <w:t>Incident Response Team (IRT) Meeting</w:t>
            </w:r>
            <w:r>
              <w:rPr>
                <w:rFonts w:asciiTheme="minorHAnsi" w:hAnsiTheme="minorHAnsi" w:cstheme="minorHAnsi"/>
              </w:rPr>
              <w:t>s will be required throughout the response to the outbreak</w:t>
            </w:r>
            <w:r w:rsidRPr="00E8412F">
              <w:rPr>
                <w:rFonts w:asciiTheme="minorHAnsi" w:hAnsiTheme="minorHAnsi" w:cstheme="minorHAnsi"/>
              </w:rPr>
              <w:t>. Th</w:t>
            </w:r>
            <w:r>
              <w:rPr>
                <w:rFonts w:asciiTheme="minorHAnsi" w:hAnsiTheme="minorHAnsi" w:cstheme="minorHAnsi"/>
              </w:rPr>
              <w:t>ese</w:t>
            </w:r>
            <w:r w:rsidRPr="00E8412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will</w:t>
            </w:r>
            <w:r w:rsidRPr="00E8412F">
              <w:rPr>
                <w:rFonts w:asciiTheme="minorHAnsi" w:hAnsiTheme="minorHAnsi" w:cstheme="minorHAnsi"/>
              </w:rPr>
              <w:t xml:space="preserve"> be arranged and chaired by the Director of Education and Student Services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EFE9943" w14:textId="27757C9A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local Higher Education institutions, such as Bath Spa University, Bath College and Norland College may also be aware of / responding to the outbreak. It is important that, where possible, a consistent message is given to students across the three organisations.</w:t>
            </w:r>
          </w:p>
        </w:tc>
        <w:tc>
          <w:tcPr>
            <w:tcW w:w="1731" w:type="dxa"/>
            <w:shd w:val="clear" w:color="auto" w:fill="auto"/>
          </w:tcPr>
          <w:p w14:paraId="284A59A3" w14:textId="66512F1D" w:rsidR="00DE37FB" w:rsidRPr="005F0470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UKHSA</w:t>
            </w:r>
          </w:p>
          <w:p w14:paraId="475D81D4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78FDF02" w14:textId="7CE4163E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of Education and Student Services</w:t>
            </w:r>
          </w:p>
          <w:p w14:paraId="1EE155B3" w14:textId="77777777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94A8405" w14:textId="6320EB3A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Communications Team</w:t>
            </w:r>
            <w:r w:rsidR="008F3D86">
              <w:rPr>
                <w:rFonts w:asciiTheme="minorHAnsi" w:hAnsiTheme="minorHAnsi" w:cstheme="minorHAnsi"/>
              </w:rPr>
              <w:t xml:space="preserve"> as advised by UK</w:t>
            </w:r>
          </w:p>
        </w:tc>
        <w:tc>
          <w:tcPr>
            <w:tcW w:w="329" w:type="dxa"/>
          </w:tcPr>
          <w:p w14:paraId="6AB7A422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6F718BFD" w14:textId="77777777" w:rsidTr="0065404A">
        <w:tc>
          <w:tcPr>
            <w:tcW w:w="2387" w:type="dxa"/>
          </w:tcPr>
          <w:p w14:paraId="5663E4FA" w14:textId="06E8B470" w:rsidR="00DE37FB" w:rsidRPr="002809CB" w:rsidRDefault="00DE37FB" w:rsidP="00DE37FB">
            <w:pPr>
              <w:numPr>
                <w:ilvl w:val="0"/>
                <w:numId w:val="6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Student Welfare</w:t>
            </w:r>
          </w:p>
        </w:tc>
        <w:tc>
          <w:tcPr>
            <w:tcW w:w="5146" w:type="dxa"/>
          </w:tcPr>
          <w:p w14:paraId="51543CB6" w14:textId="5C236D69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394BFF">
              <w:rPr>
                <w:rFonts w:asciiTheme="minorHAnsi" w:hAnsiTheme="minorHAnsi" w:cstheme="minorHAnsi"/>
              </w:rPr>
              <w:t>Signpost students to support services as part of both targeted and broad communications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31" w:type="dxa"/>
          </w:tcPr>
          <w:p w14:paraId="27A9EF8E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Student Support and Safeguarding Team and Communications Team</w:t>
            </w:r>
          </w:p>
        </w:tc>
        <w:tc>
          <w:tcPr>
            <w:tcW w:w="329" w:type="dxa"/>
          </w:tcPr>
          <w:p w14:paraId="3D57E178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4367F9B4" w14:textId="77777777" w:rsidTr="0065404A">
        <w:tc>
          <w:tcPr>
            <w:tcW w:w="2387" w:type="dxa"/>
          </w:tcPr>
          <w:p w14:paraId="7214491E" w14:textId="058C04C2" w:rsidR="00DE37FB" w:rsidRPr="002809CB" w:rsidRDefault="00DE37FB" w:rsidP="00DE37FB">
            <w:pPr>
              <w:numPr>
                <w:ilvl w:val="0"/>
                <w:numId w:val="6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Staff Welfare</w:t>
            </w:r>
          </w:p>
        </w:tc>
        <w:tc>
          <w:tcPr>
            <w:tcW w:w="5146" w:type="dxa"/>
          </w:tcPr>
          <w:p w14:paraId="0F45E66F" w14:textId="604BB0A9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FE2C58">
              <w:rPr>
                <w:rFonts w:asciiTheme="minorHAnsi" w:hAnsiTheme="minorHAnsi" w:cstheme="minorHAnsi"/>
              </w:rPr>
              <w:t>Signpost staff to appropriate services as part of both targeted and broad communications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31" w:type="dxa"/>
          </w:tcPr>
          <w:p w14:paraId="07A5DE69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 Resources and Communications Team</w:t>
            </w:r>
          </w:p>
        </w:tc>
        <w:tc>
          <w:tcPr>
            <w:tcW w:w="329" w:type="dxa"/>
          </w:tcPr>
          <w:p w14:paraId="01520A76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763715C1" w14:textId="77777777" w:rsidTr="0065404A">
        <w:tc>
          <w:tcPr>
            <w:tcW w:w="2387" w:type="dxa"/>
            <w:shd w:val="clear" w:color="auto" w:fill="auto"/>
          </w:tcPr>
          <w:p w14:paraId="06E34803" w14:textId="6F3E959F" w:rsidR="00DE37FB" w:rsidRPr="002809CB" w:rsidRDefault="00DE37FB" w:rsidP="00DE37FB">
            <w:pPr>
              <w:numPr>
                <w:ilvl w:val="0"/>
                <w:numId w:val="6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Data Collection &amp; Management</w:t>
            </w:r>
          </w:p>
        </w:tc>
        <w:tc>
          <w:tcPr>
            <w:tcW w:w="5146" w:type="dxa"/>
            <w:shd w:val="clear" w:color="auto" w:fill="auto"/>
          </w:tcPr>
          <w:p w14:paraId="23E0924F" w14:textId="77777777" w:rsidR="00DE37FB" w:rsidRPr="00EA2D94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EA2D94">
              <w:rPr>
                <w:rFonts w:asciiTheme="minorHAnsi" w:hAnsiTheme="minorHAnsi" w:cstheme="minorHAnsi"/>
              </w:rPr>
              <w:t>Data must be carefully managed ensuring that data protection and patient confidentiality is maintained.</w:t>
            </w:r>
          </w:p>
          <w:p w14:paraId="7959B2AB" w14:textId="77777777" w:rsidR="00DE37FB" w:rsidRPr="00EA2D94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EA2D94">
              <w:rPr>
                <w:rFonts w:asciiTheme="minorHAnsi" w:hAnsiTheme="minorHAnsi" w:cstheme="minorHAnsi"/>
              </w:rPr>
              <w:t>Set up Microsoft Teams team with access limited.</w:t>
            </w:r>
          </w:p>
          <w:p w14:paraId="01283F63" w14:textId="3AEA312B" w:rsidR="00DE37FB" w:rsidRPr="00EA2D94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EA2D94">
              <w:rPr>
                <w:rFonts w:asciiTheme="minorHAnsi" w:hAnsiTheme="minorHAnsi" w:cstheme="minorHAnsi"/>
              </w:rPr>
              <w:t xml:space="preserve">Maintain central log in Teams </w:t>
            </w:r>
            <w:proofErr w:type="gramStart"/>
            <w:r w:rsidRPr="00EA2D94">
              <w:rPr>
                <w:rFonts w:asciiTheme="minorHAnsi" w:hAnsiTheme="minorHAnsi" w:cstheme="minorHAnsi"/>
              </w:rPr>
              <w:t>folder</w:t>
            </w:r>
            <w:proofErr w:type="gramEnd"/>
            <w:r w:rsidRPr="00EA2D94">
              <w:rPr>
                <w:rFonts w:asciiTheme="minorHAnsi" w:hAnsiTheme="minorHAnsi" w:cstheme="minorHAnsi"/>
              </w:rPr>
              <w:t xml:space="preserve"> </w:t>
            </w:r>
          </w:p>
          <w:p w14:paraId="438B6CC8" w14:textId="001476C9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EA2D94">
              <w:rPr>
                <w:rFonts w:asciiTheme="minorHAnsi" w:hAnsiTheme="minorHAnsi" w:cstheme="minorHAnsi"/>
              </w:rPr>
              <w:t>Encrypt all emails containing PID</w:t>
            </w:r>
          </w:p>
        </w:tc>
        <w:tc>
          <w:tcPr>
            <w:tcW w:w="1731" w:type="dxa"/>
            <w:shd w:val="clear" w:color="auto" w:fill="auto"/>
          </w:tcPr>
          <w:p w14:paraId="5118A9D0" w14:textId="3A376BD3" w:rsidR="008F3D86" w:rsidRPr="008F3D86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</w:t>
            </w:r>
          </w:p>
          <w:p w14:paraId="662B304E" w14:textId="21E913CD" w:rsidR="008F3D86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of OR &amp; BC</w:t>
            </w:r>
          </w:p>
          <w:p w14:paraId="09F7FEAC" w14:textId="09F1BB78" w:rsidR="008F3D86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Silver IRT</w:t>
            </w:r>
          </w:p>
          <w:p w14:paraId="5CB7A15F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329" w:type="dxa"/>
          </w:tcPr>
          <w:p w14:paraId="0BB69321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E37FB" w:rsidRPr="002809CB" w14:paraId="688FA6E0" w14:textId="77777777" w:rsidTr="0065404A">
        <w:tc>
          <w:tcPr>
            <w:tcW w:w="2387" w:type="dxa"/>
            <w:shd w:val="clear" w:color="auto" w:fill="auto"/>
          </w:tcPr>
          <w:p w14:paraId="3A4A72DE" w14:textId="09313F03" w:rsidR="00DE37FB" w:rsidRPr="002809CB" w:rsidRDefault="00DE37FB" w:rsidP="00DE37FB">
            <w:pPr>
              <w:numPr>
                <w:ilvl w:val="0"/>
                <w:numId w:val="6"/>
              </w:numPr>
              <w:spacing w:after="24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955A3">
              <w:rPr>
                <w:rFonts w:asciiTheme="minorHAnsi" w:hAnsiTheme="minorHAnsi" w:cstheme="minorHAnsi"/>
                <w:b/>
                <w:bCs/>
              </w:rPr>
              <w:t>Stand Down</w:t>
            </w:r>
          </w:p>
        </w:tc>
        <w:tc>
          <w:tcPr>
            <w:tcW w:w="5146" w:type="dxa"/>
            <w:shd w:val="clear" w:color="auto" w:fill="auto"/>
          </w:tcPr>
          <w:p w14:paraId="760FC90A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BF4057">
              <w:rPr>
                <w:rFonts w:asciiTheme="minorHAnsi" w:hAnsiTheme="minorHAnsi" w:cstheme="minorHAnsi"/>
              </w:rPr>
              <w:t>Following a</w:t>
            </w:r>
            <w:r>
              <w:rPr>
                <w:rFonts w:asciiTheme="minorHAnsi" w:hAnsiTheme="minorHAnsi" w:cstheme="minorHAnsi"/>
              </w:rPr>
              <w:t>n outbreak</w:t>
            </w:r>
            <w:r w:rsidRPr="00BF4057">
              <w:rPr>
                <w:rFonts w:asciiTheme="minorHAnsi" w:hAnsiTheme="minorHAnsi" w:cstheme="minorHAnsi"/>
              </w:rPr>
              <w:t xml:space="preserve">, UKHSA will stand down the IMT meetings when they are satisfied </w:t>
            </w:r>
            <w:r>
              <w:rPr>
                <w:rFonts w:asciiTheme="minorHAnsi" w:hAnsiTheme="minorHAnsi" w:cstheme="minorHAnsi"/>
              </w:rPr>
              <w:t>that</w:t>
            </w:r>
            <w:r w:rsidRPr="00BF4057">
              <w:rPr>
                <w:rFonts w:asciiTheme="minorHAnsi" w:hAnsiTheme="minorHAnsi" w:cstheme="minorHAnsi"/>
              </w:rPr>
              <w:t xml:space="preserve"> all required actions have been completed and that</w:t>
            </w:r>
            <w:r>
              <w:rPr>
                <w:rFonts w:asciiTheme="minorHAnsi" w:hAnsiTheme="minorHAnsi" w:cstheme="minorHAnsi"/>
              </w:rPr>
              <w:t xml:space="preserve"> a multi-agency response is no longer required.</w:t>
            </w:r>
          </w:p>
          <w:p w14:paraId="037CEBFB" w14:textId="5E871E6D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BF4057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Silver IRT</w:t>
            </w:r>
            <w:r w:rsidRPr="00BF4057">
              <w:rPr>
                <w:rFonts w:asciiTheme="minorHAnsi" w:hAnsiTheme="minorHAnsi" w:cstheme="minorHAnsi"/>
              </w:rPr>
              <w:t xml:space="preserve"> should be formally stood down only when the chair is confident that all the required </w:t>
            </w:r>
            <w:r w:rsidRPr="00BF4057">
              <w:rPr>
                <w:rFonts w:asciiTheme="minorHAnsi" w:hAnsiTheme="minorHAnsi" w:cstheme="minorHAnsi"/>
              </w:rPr>
              <w:lastRenderedPageBreak/>
              <w:t>actions have been completed</w:t>
            </w:r>
            <w:r>
              <w:rPr>
                <w:rFonts w:asciiTheme="minorHAnsi" w:hAnsiTheme="minorHAnsi" w:cstheme="minorHAnsi"/>
              </w:rPr>
              <w:t xml:space="preserve"> or absorbed into Business as Usual.</w:t>
            </w:r>
          </w:p>
        </w:tc>
        <w:tc>
          <w:tcPr>
            <w:tcW w:w="1731" w:type="dxa"/>
            <w:shd w:val="clear" w:color="auto" w:fill="auto"/>
          </w:tcPr>
          <w:p w14:paraId="6A75B1C1" w14:textId="77777777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UKHSA</w:t>
            </w:r>
          </w:p>
          <w:p w14:paraId="0E5B0EF2" w14:textId="77777777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46BE481" w14:textId="7A579E26" w:rsidR="00DE37F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of Education and Student Services</w:t>
            </w:r>
          </w:p>
          <w:p w14:paraId="704A1101" w14:textId="56590632" w:rsidR="00DE37FB" w:rsidRPr="00141074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29" w:type="dxa"/>
          </w:tcPr>
          <w:p w14:paraId="647B4840" w14:textId="77777777" w:rsidR="00DE37FB" w:rsidRPr="002809CB" w:rsidRDefault="00DE37FB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F3D86" w:rsidRPr="002809CB" w14:paraId="276C90F1" w14:textId="77777777" w:rsidTr="0065404A">
        <w:tc>
          <w:tcPr>
            <w:tcW w:w="2387" w:type="dxa"/>
            <w:shd w:val="clear" w:color="auto" w:fill="auto"/>
          </w:tcPr>
          <w:p w14:paraId="0B41B391" w14:textId="77777777" w:rsidR="008F3D86" w:rsidRPr="00A955A3" w:rsidRDefault="008F3D86" w:rsidP="008F3D86">
            <w:pPr>
              <w:spacing w:after="240" w:line="240" w:lineRule="auto"/>
              <w:ind w:left="360" w:firstLin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46" w:type="dxa"/>
            <w:shd w:val="clear" w:color="auto" w:fill="auto"/>
          </w:tcPr>
          <w:p w14:paraId="7292882E" w14:textId="729EDE1B" w:rsidR="008F3D86" w:rsidRPr="00BF4057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2F6B5C">
              <w:rPr>
                <w:rFonts w:asciiTheme="minorHAnsi" w:hAnsiTheme="minorHAnsi" w:cstheme="minorHAnsi"/>
              </w:rPr>
              <w:t>Debrief to be arranged as described in IRF.</w:t>
            </w:r>
          </w:p>
        </w:tc>
        <w:tc>
          <w:tcPr>
            <w:tcW w:w="1731" w:type="dxa"/>
            <w:shd w:val="clear" w:color="auto" w:fill="auto"/>
          </w:tcPr>
          <w:p w14:paraId="7A7F49FD" w14:textId="77777777" w:rsidR="008F3D86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</w:tcPr>
          <w:p w14:paraId="004663BA" w14:textId="77777777" w:rsidR="008F3D86" w:rsidRPr="002809CB" w:rsidRDefault="008F3D86" w:rsidP="00DE37FB">
            <w:pPr>
              <w:spacing w:after="24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A01C13B" w14:textId="77777777" w:rsidR="001C0E1F" w:rsidRDefault="001C0E1F" w:rsidP="001C0E1F">
      <w:pPr>
        <w:spacing w:after="240"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220AF178" w14:textId="4F9C13B1" w:rsidR="0023205E" w:rsidRPr="006D0AF7" w:rsidRDefault="0023205E" w:rsidP="006D0AF7"/>
    <w:sectPr w:rsidR="0023205E" w:rsidRPr="006D0AF7" w:rsidSect="00AF7DD4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8609" w14:textId="77777777" w:rsidR="00A0450A" w:rsidRDefault="00A0450A" w:rsidP="00A0450A">
      <w:pPr>
        <w:spacing w:after="0" w:line="240" w:lineRule="auto"/>
      </w:pPr>
      <w:r>
        <w:separator/>
      </w:r>
    </w:p>
  </w:endnote>
  <w:endnote w:type="continuationSeparator" w:id="0">
    <w:p w14:paraId="56EDF21B" w14:textId="77777777" w:rsidR="00A0450A" w:rsidRDefault="00A0450A" w:rsidP="00A0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10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302B5A" w14:textId="2242A12D" w:rsidR="00A0450A" w:rsidRDefault="00A0450A" w:rsidP="00A0450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F19EA" w14:textId="77777777" w:rsidR="00A0450A" w:rsidRDefault="00A0450A" w:rsidP="00A0450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EBC0" w14:textId="77777777" w:rsidR="00A0450A" w:rsidRDefault="00A0450A" w:rsidP="00A0450A">
      <w:pPr>
        <w:spacing w:after="0" w:line="240" w:lineRule="auto"/>
      </w:pPr>
      <w:r>
        <w:separator/>
      </w:r>
    </w:p>
  </w:footnote>
  <w:footnote w:type="continuationSeparator" w:id="0">
    <w:p w14:paraId="6FC814B3" w14:textId="77777777" w:rsidR="00A0450A" w:rsidRDefault="00A0450A" w:rsidP="00A0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DE12" w14:textId="4B03CA7D" w:rsidR="00195309" w:rsidRDefault="00195309" w:rsidP="00195309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6B7BF3CD" wp14:editId="5C85BA9B">
          <wp:extent cx="1724025" cy="704850"/>
          <wp:effectExtent l="0" t="0" r="9525" b="0"/>
          <wp:docPr id="1085748687" name="Picture 1" descr="University of Bath Logo blue sulis head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748687" name="Picture 1" descr="University of Bath Logo blue sulis head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77" cy="70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5A3"/>
    <w:multiLevelType w:val="hybridMultilevel"/>
    <w:tmpl w:val="E90CFE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F60E7"/>
    <w:multiLevelType w:val="hybridMultilevel"/>
    <w:tmpl w:val="31947290"/>
    <w:lvl w:ilvl="0" w:tplc="60B0CF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A40752A"/>
    <w:multiLevelType w:val="hybridMultilevel"/>
    <w:tmpl w:val="A6A48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D6D"/>
    <w:multiLevelType w:val="hybridMultilevel"/>
    <w:tmpl w:val="6B400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87D46"/>
    <w:multiLevelType w:val="hybridMultilevel"/>
    <w:tmpl w:val="E8FA86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F2DD8"/>
    <w:multiLevelType w:val="hybridMultilevel"/>
    <w:tmpl w:val="472A7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25D52"/>
    <w:multiLevelType w:val="hybridMultilevel"/>
    <w:tmpl w:val="86447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3AE8"/>
    <w:multiLevelType w:val="hybridMultilevel"/>
    <w:tmpl w:val="3522A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F53FF"/>
    <w:multiLevelType w:val="hybridMultilevel"/>
    <w:tmpl w:val="20104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368286">
    <w:abstractNumId w:val="6"/>
  </w:num>
  <w:num w:numId="2" w16cid:durableId="1630820361">
    <w:abstractNumId w:val="5"/>
  </w:num>
  <w:num w:numId="3" w16cid:durableId="148138294">
    <w:abstractNumId w:val="8"/>
  </w:num>
  <w:num w:numId="4" w16cid:durableId="464540774">
    <w:abstractNumId w:val="3"/>
  </w:num>
  <w:num w:numId="5" w16cid:durableId="1016884416">
    <w:abstractNumId w:val="2"/>
  </w:num>
  <w:num w:numId="6" w16cid:durableId="877164804">
    <w:abstractNumId w:val="4"/>
  </w:num>
  <w:num w:numId="7" w16cid:durableId="1094936592">
    <w:abstractNumId w:val="0"/>
  </w:num>
  <w:num w:numId="8" w16cid:durableId="1443954695">
    <w:abstractNumId w:val="1"/>
  </w:num>
  <w:num w:numId="9" w16cid:durableId="9989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A2"/>
    <w:rsid w:val="00063B2A"/>
    <w:rsid w:val="00195309"/>
    <w:rsid w:val="001C0E1F"/>
    <w:rsid w:val="0023205E"/>
    <w:rsid w:val="00443F46"/>
    <w:rsid w:val="006D0AF7"/>
    <w:rsid w:val="008F3D86"/>
    <w:rsid w:val="009A50A2"/>
    <w:rsid w:val="00A0450A"/>
    <w:rsid w:val="00AF7DD4"/>
    <w:rsid w:val="00C57F7F"/>
    <w:rsid w:val="00D03D18"/>
    <w:rsid w:val="00DE37FB"/>
    <w:rsid w:val="00E33878"/>
    <w:rsid w:val="00F35BC6"/>
    <w:rsid w:val="00F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0095B4"/>
  <w15:chartTrackingRefBased/>
  <w15:docId w15:val="{FA3851D3-BB00-4AF8-BCDE-017D6B2F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F7"/>
    <w:pPr>
      <w:spacing w:after="63" w:line="251" w:lineRule="auto"/>
      <w:ind w:left="1044" w:hanging="10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F7"/>
    <w:pPr>
      <w:spacing w:after="0" w:line="240" w:lineRule="auto"/>
      <w:ind w:left="720" w:firstLine="0"/>
    </w:pPr>
    <w:rPr>
      <w:rFonts w:eastAsiaTheme="minorHAnsi"/>
      <w:color w:val="auto"/>
      <w:lang w:eastAsia="en-US"/>
    </w:rPr>
  </w:style>
  <w:style w:type="table" w:styleId="TableGrid">
    <w:name w:val="Table Grid"/>
    <w:basedOn w:val="TableNormal"/>
    <w:uiPriority w:val="39"/>
    <w:rsid w:val="006D0AF7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0A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4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0A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C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legal-information/meningitis-meningococcal-septicaemia-response-plan.bh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legal-information/meningitis-meningococcal-septicaemia-response-plan.bh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/legal-information/meningitis-meningococcal-septicaemia-response-plan.bh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legal-information/meningitis-meningococcal-septicaemia-response-plan.bh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McInnes</dc:creator>
  <cp:keywords/>
  <dc:description/>
  <cp:lastModifiedBy>Sarah McInnes</cp:lastModifiedBy>
  <cp:revision>5</cp:revision>
  <dcterms:created xsi:type="dcterms:W3CDTF">2024-11-21T09:27:00Z</dcterms:created>
  <dcterms:modified xsi:type="dcterms:W3CDTF">2024-12-11T11:03:00Z</dcterms:modified>
</cp:coreProperties>
</file>