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8"/>
        <w:gridCol w:w="5802"/>
      </w:tblGrid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16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Programme code </w:t>
            </w:r>
          </w:p>
        </w:tc>
        <w:tc>
          <w:tcPr>
            <w:tcW w:w="5802" w:type="dxa"/>
            <w:tcBorders>
              <w:top w:val="single" w:sz="16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Programme title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Award type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Award title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Mode of Attendance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Length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 any designated alternative programme(s)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16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Approving body and date of approval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16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8D2C66" w:rsidRDefault="008D2C66"/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840"/>
        <w:gridCol w:w="840"/>
        <w:gridCol w:w="2835"/>
        <w:gridCol w:w="685"/>
        <w:gridCol w:w="397"/>
        <w:gridCol w:w="397"/>
        <w:gridCol w:w="480"/>
        <w:gridCol w:w="1077"/>
        <w:gridCol w:w="1663"/>
      </w:tblGrid>
      <w:tr w:rsidR="008D2C66" w:rsidRPr="008D2C66" w:rsidTr="00190DB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08" w:type="dxa"/>
            <w:gridSpan w:val="11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CCFFCC"/>
            <w:vAlign w:val="center"/>
          </w:tcPr>
          <w:p w:rsidR="008D2C66" w:rsidRPr="008D2C66" w:rsidRDefault="008D2C66" w:rsidP="008D2C66">
            <w:pPr>
              <w:rPr>
                <w:rFonts w:ascii="Arial" w:hAnsi="Arial" w:cs="Arial"/>
                <w:b/>
                <w:i/>
                <w:szCs w:val="16"/>
              </w:rPr>
            </w:pPr>
            <w:r>
              <w:rPr>
                <w:rFonts w:ascii="Arial" w:hAnsi="Arial" w:cs="Arial"/>
                <w:b/>
                <w:i/>
                <w:szCs w:val="16"/>
              </w:rPr>
              <w:t xml:space="preserve">Year 1 </w:t>
            </w:r>
            <w:r w:rsidRPr="008D2C66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190DB5" w:rsidTr="00A532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53560E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53560E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Stage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Normal period of study for this Mode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 code</w:t>
            </w:r>
          </w:p>
        </w:tc>
        <w:tc>
          <w:tcPr>
            <w:tcW w:w="2835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 title</w:t>
            </w:r>
          </w:p>
        </w:tc>
        <w:tc>
          <w:tcPr>
            <w:tcW w:w="685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 status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53560E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8D2C66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DEU status</w:t>
            </w:r>
          </w:p>
        </w:tc>
        <w:tc>
          <w:tcPr>
            <w:tcW w:w="480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8D2C66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SRU status</w:t>
            </w:r>
          </w:p>
        </w:tc>
        <w:tc>
          <w:tcPr>
            <w:tcW w:w="107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1D4993" w:rsidP="00190DB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Taught, or Dissertatio</w:t>
            </w:r>
            <w:r w:rsidR="0053560E">
              <w:rPr>
                <w:b/>
                <w:bCs/>
                <w:sz w:val="16"/>
                <w:szCs w:val="16"/>
              </w:rPr>
              <w:t>n/</w:t>
            </w:r>
          </w:p>
          <w:p w:rsidR="0053560E" w:rsidRDefault="0053560E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project credits</w:t>
            </w:r>
          </w:p>
        </w:tc>
        <w:tc>
          <w:tcPr>
            <w:tcW w:w="1663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Pr="0053560E" w:rsidRDefault="0053560E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53560E">
              <w:rPr>
                <w:b/>
                <w:sz w:val="16"/>
                <w:szCs w:val="16"/>
              </w:rPr>
              <w:t>Notes</w:t>
            </w: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SRU</w:t>
            </w: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SRU can be in either semester</w:t>
            </w: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B07948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Project/Dissertation unit</w:t>
            </w: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DPC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This can be more than one unit.</w:t>
            </w:r>
          </w:p>
        </w:tc>
      </w:tr>
    </w:tbl>
    <w:p w:rsidR="00AE5720" w:rsidRDefault="00AE5720" w:rsidP="0053560E"/>
    <w:tbl>
      <w:tblPr>
        <w:tblStyle w:val="TableGrid"/>
        <w:tblW w:w="10014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709"/>
      </w:tblGrid>
      <w:tr w:rsidR="00E37E73" w:rsidRPr="00447956" w:rsidTr="00B67DC2">
        <w:trPr>
          <w:cantSplit/>
          <w:trHeight w:val="398"/>
          <w:jc w:val="center"/>
        </w:trPr>
        <w:tc>
          <w:tcPr>
            <w:tcW w:w="10014" w:type="dxa"/>
            <w:gridSpan w:val="2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Pr="00447956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Programme characteristics &amp; </w:t>
            </w:r>
            <w:r w:rsidRPr="00447956">
              <w:rPr>
                <w:rFonts w:ascii="Arial" w:hAnsi="Arial" w:cs="Arial"/>
                <w:b/>
                <w:sz w:val="16"/>
                <w:szCs w:val="16"/>
              </w:rPr>
              <w:t xml:space="preserve"> decision references</w:t>
            </w:r>
          </w:p>
        </w:tc>
      </w:tr>
      <w:tr w:rsidR="00E37E73" w:rsidRPr="00447956" w:rsidTr="00B67DC2">
        <w:trPr>
          <w:cantSplit/>
          <w:trHeight w:val="431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Pr="00447956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Programme Progression requirement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Pr="0059618C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40%</w:t>
            </w:r>
          </w:p>
        </w:tc>
      </w:tr>
      <w:tr w:rsidR="00E37E73" w:rsidRPr="00447956" w:rsidTr="00B67DC2">
        <w:trPr>
          <w:cantSplit/>
          <w:trHeight w:val="567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NFAAR-PGT appendix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Pr="00A74D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http://www.bath.ac.uk/registry/nfa/nfaar-pgt-appendix-11.pdf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(Masters)</w:t>
            </w:r>
          </w:p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A74D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http://www.bath.ac.uk/registry/nfa/nfaar-pgt-appendix-12.pdf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(Diploma) - delete if not applicable</w:t>
            </w:r>
          </w:p>
          <w:p w:rsidR="00E37E73" w:rsidRPr="00091132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A74D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http://www.bath.ac.uk/registry/nfa/nfaar-pgt-appendix-13.pdf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(Certificate) - delete if not applicable</w:t>
            </w:r>
          </w:p>
        </w:tc>
      </w:tr>
      <w:tr w:rsidR="00E37E73" w:rsidRPr="00447956" w:rsidTr="00B67DC2">
        <w:trPr>
          <w:cantSplit/>
          <w:trHeight w:val="515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of TSC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37E73" w:rsidRPr="00447956" w:rsidTr="00B67DC2">
        <w:trPr>
          <w:cantSplit/>
          <w:trHeight w:val="549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of DPC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37E73" w:rsidRPr="00447956" w:rsidTr="00B67DC2">
        <w:trPr>
          <w:cantSplit/>
          <w:trHeight w:val="567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 approved exemptions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</w:tbl>
    <w:p w:rsidR="00E37E73" w:rsidRDefault="00E37E73"/>
    <w:p w:rsidR="00E37E73" w:rsidRDefault="00E37E73"/>
    <w:tbl>
      <w:tblPr>
        <w:tblStyle w:val="TableGrid"/>
        <w:tblW w:w="10014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014"/>
      </w:tblGrid>
      <w:tr w:rsidR="00A226DE" w:rsidRPr="00447956" w:rsidTr="00826795">
        <w:trPr>
          <w:cantSplit/>
          <w:trHeight w:val="567"/>
          <w:jc w:val="center"/>
        </w:trPr>
        <w:tc>
          <w:tcPr>
            <w:tcW w:w="10014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6DE" w:rsidRPr="0003744D" w:rsidRDefault="00A226DE" w:rsidP="00AF3E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744D">
              <w:rPr>
                <w:rFonts w:ascii="Arial" w:hAnsi="Arial" w:cs="Arial"/>
                <w:b/>
                <w:sz w:val="16"/>
                <w:szCs w:val="16"/>
              </w:rPr>
              <w:lastRenderedPageBreak/>
              <w:t>Notes:</w:t>
            </w:r>
          </w:p>
          <w:p w:rsidR="00A226DE" w:rsidRDefault="00A226DE" w:rsidP="00AF3E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All averages are credit weighted.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Any re-assessment of a Stage Required Unit (SRU) must be completed in the normal supplementary assessment period prior to progression to </w:t>
            </w:r>
            <w:r w:rsidR="00E37E73">
              <w:rPr>
                <w:rFonts w:ascii="Arial" w:hAnsi="Arial" w:cs="Arial"/>
                <w:sz w:val="16"/>
                <w:szCs w:val="16"/>
              </w:rPr>
              <w:t>the next stage of the programme, i.e. students cannot commence stage 2 prior to the completion of re-assessment of a SRU.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37E73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tudents can only be condoned in a maximum of 20% of the taught stage credits (TSC).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For a Masters</w:t>
            </w:r>
            <w:r w:rsidR="00E37E73">
              <w:rPr>
                <w:rFonts w:ascii="Arial" w:hAnsi="Arial" w:cs="Arial"/>
                <w:sz w:val="16"/>
                <w:szCs w:val="16"/>
              </w:rPr>
              <w:t>/diploma</w:t>
            </w:r>
            <w:r>
              <w:rPr>
                <w:rFonts w:ascii="Arial" w:hAnsi="Arial" w:cs="Arial"/>
                <w:sz w:val="16"/>
                <w:szCs w:val="16"/>
              </w:rPr>
              <w:t xml:space="preserve"> programme</w:t>
            </w:r>
            <w:r w:rsidR="00E37E7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the maximum number of credits that can be re-assessed is 18 TSC.</w:t>
            </w:r>
            <w:r w:rsidR="00E37E73">
              <w:rPr>
                <w:rFonts w:ascii="Arial" w:hAnsi="Arial" w:cs="Arial"/>
                <w:sz w:val="16"/>
                <w:szCs w:val="16"/>
              </w:rPr>
              <w:t xml:space="preserve">  12 TSC for PG Certificate.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Where the Dissertation Project Average (DPA) is made up of more than 1 unit,</w:t>
            </w:r>
            <w:r w:rsidR="0003744D">
              <w:rPr>
                <w:rFonts w:ascii="Arial" w:hAnsi="Arial" w:cs="Arial"/>
                <w:sz w:val="16"/>
                <w:szCs w:val="16"/>
              </w:rPr>
              <w:t xml:space="preserve"> marginal failure in one unit can be compensated by a better mark in the other unit.</w:t>
            </w:r>
          </w:p>
          <w:p w:rsidR="0003744D" w:rsidRDefault="0003744D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Where the project/dissertation unit(s) </w:t>
            </w:r>
            <w:r w:rsidR="00E37E73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 xml:space="preserve"> started at the same time as taught stage units please ensure that this is clear by indicating this in the Normal Period of study column.</w:t>
            </w:r>
          </w:p>
          <w:p w:rsidR="00B07948" w:rsidRDefault="00B07948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ab/>
              <w:t>DIS = dissertation period i.e. normally the summer vacation after the end of teaching.</w:t>
            </w:r>
          </w:p>
        </w:tc>
      </w:tr>
    </w:tbl>
    <w:p w:rsidR="00447956" w:rsidRDefault="00447956" w:rsidP="0053560E"/>
    <w:sectPr w:rsidR="00447956" w:rsidSect="0053560E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0E" w:rsidRDefault="000C1B0E">
      <w:r>
        <w:separator/>
      </w:r>
    </w:p>
  </w:endnote>
  <w:endnote w:type="continuationSeparator" w:id="0">
    <w:p w:rsidR="000C1B0E" w:rsidRDefault="000C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EB" w:rsidRPr="00070B44" w:rsidRDefault="00D40FEB">
    <w:pPr>
      <w:pStyle w:val="Footer"/>
      <w:rPr>
        <w:rFonts w:ascii="Arial" w:hAnsi="Arial" w:cs="Arial"/>
        <w:sz w:val="20"/>
        <w:szCs w:val="20"/>
      </w:rPr>
    </w:pPr>
    <w:r w:rsidRPr="00070B44">
      <w:rPr>
        <w:rFonts w:ascii="Arial" w:hAnsi="Arial" w:cs="Arial"/>
        <w:sz w:val="20"/>
        <w:szCs w:val="20"/>
      </w:rPr>
      <w:t xml:space="preserve">Page </w:t>
    </w:r>
    <w:r w:rsidRPr="00070B44">
      <w:rPr>
        <w:rStyle w:val="PageNumber"/>
        <w:rFonts w:ascii="Arial" w:hAnsi="Arial" w:cs="Arial"/>
        <w:sz w:val="20"/>
        <w:szCs w:val="20"/>
      </w:rPr>
      <w:fldChar w:fldCharType="begin"/>
    </w:r>
    <w:r w:rsidRPr="00070B4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70B44">
      <w:rPr>
        <w:rStyle w:val="PageNumber"/>
        <w:rFonts w:ascii="Arial" w:hAnsi="Arial" w:cs="Arial"/>
        <w:sz w:val="20"/>
        <w:szCs w:val="20"/>
      </w:rPr>
      <w:fldChar w:fldCharType="separate"/>
    </w:r>
    <w:r w:rsidR="00CD7D3A">
      <w:rPr>
        <w:rStyle w:val="PageNumber"/>
        <w:rFonts w:ascii="Arial" w:hAnsi="Arial" w:cs="Arial"/>
        <w:noProof/>
        <w:sz w:val="20"/>
        <w:szCs w:val="20"/>
      </w:rPr>
      <w:t>1</w:t>
    </w:r>
    <w:r w:rsidRPr="00070B44">
      <w:rPr>
        <w:rStyle w:val="PageNumber"/>
        <w:rFonts w:ascii="Arial" w:hAnsi="Arial" w:cs="Arial"/>
        <w:sz w:val="20"/>
        <w:szCs w:val="20"/>
      </w:rPr>
      <w:fldChar w:fldCharType="end"/>
    </w:r>
    <w:r w:rsidRPr="00070B44">
      <w:rPr>
        <w:rStyle w:val="PageNumber"/>
        <w:rFonts w:ascii="Arial" w:hAnsi="Arial" w:cs="Arial"/>
        <w:sz w:val="20"/>
        <w:szCs w:val="20"/>
      </w:rPr>
      <w:t xml:space="preserve"> of </w:t>
    </w:r>
    <w:r w:rsidRPr="00070B44">
      <w:rPr>
        <w:rStyle w:val="PageNumber"/>
        <w:rFonts w:ascii="Arial" w:hAnsi="Arial" w:cs="Arial"/>
        <w:sz w:val="20"/>
        <w:szCs w:val="20"/>
      </w:rPr>
      <w:fldChar w:fldCharType="begin"/>
    </w:r>
    <w:r w:rsidRPr="00070B4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70B44">
      <w:rPr>
        <w:rStyle w:val="PageNumber"/>
        <w:rFonts w:ascii="Arial" w:hAnsi="Arial" w:cs="Arial"/>
        <w:sz w:val="20"/>
        <w:szCs w:val="20"/>
      </w:rPr>
      <w:fldChar w:fldCharType="separate"/>
    </w:r>
    <w:r w:rsidR="00CD7D3A">
      <w:rPr>
        <w:rStyle w:val="PageNumber"/>
        <w:rFonts w:ascii="Arial" w:hAnsi="Arial" w:cs="Arial"/>
        <w:noProof/>
        <w:sz w:val="20"/>
        <w:szCs w:val="20"/>
      </w:rPr>
      <w:t>2</w:t>
    </w:r>
    <w:r w:rsidRPr="00070B4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0E" w:rsidRDefault="000C1B0E">
      <w:r>
        <w:separator/>
      </w:r>
    </w:p>
  </w:footnote>
  <w:footnote w:type="continuationSeparator" w:id="0">
    <w:p w:rsidR="000C1B0E" w:rsidRDefault="000C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EB" w:rsidRPr="005C0B6F" w:rsidRDefault="005C0B6F" w:rsidP="005C0B6F">
    <w:pPr>
      <w:pStyle w:val="Header"/>
      <w:rPr>
        <w:rFonts w:ascii="Arial" w:hAnsi="Arial" w:cs="Arial"/>
        <w:b/>
        <w:color w:val="999999"/>
        <w:sz w:val="24"/>
      </w:rPr>
    </w:pPr>
    <w:r>
      <w:rPr>
        <w:rFonts w:ascii="Arial" w:hAnsi="Arial" w:cs="Arial"/>
        <w:b/>
      </w:rPr>
      <w:t xml:space="preserve">                                                      </w:t>
    </w:r>
    <w:r w:rsidR="00D40FEB" w:rsidRPr="005C0B6F">
      <w:rPr>
        <w:rFonts w:ascii="Arial" w:hAnsi="Arial" w:cs="Arial"/>
        <w:b/>
      </w:rPr>
      <w:t>Two stage NFAAR PGT template</w:t>
    </w:r>
    <w:r>
      <w:rPr>
        <w:rFonts w:ascii="Arial" w:hAnsi="Arial" w:cs="Arial"/>
        <w:b/>
      </w:rPr>
      <w:t xml:space="preserve">                                </w:t>
    </w:r>
    <w:r>
      <w:rPr>
        <w:rFonts w:ascii="Arial" w:hAnsi="Arial" w:cs="Arial"/>
        <w:b/>
        <w:color w:val="999999"/>
        <w:sz w:val="24"/>
      </w:rPr>
      <w:t>PD Form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E"/>
    <w:rsid w:val="0003744D"/>
    <w:rsid w:val="00070B44"/>
    <w:rsid w:val="000C1B0E"/>
    <w:rsid w:val="0013527B"/>
    <w:rsid w:val="00190DB5"/>
    <w:rsid w:val="001D4993"/>
    <w:rsid w:val="0022437A"/>
    <w:rsid w:val="00447956"/>
    <w:rsid w:val="0053560E"/>
    <w:rsid w:val="005C0B6F"/>
    <w:rsid w:val="006D32B8"/>
    <w:rsid w:val="006E487F"/>
    <w:rsid w:val="00826795"/>
    <w:rsid w:val="00855A23"/>
    <w:rsid w:val="008A5A06"/>
    <w:rsid w:val="008D2C66"/>
    <w:rsid w:val="009A26F2"/>
    <w:rsid w:val="00A226DE"/>
    <w:rsid w:val="00A53297"/>
    <w:rsid w:val="00AE5720"/>
    <w:rsid w:val="00AF3EE7"/>
    <w:rsid w:val="00B07948"/>
    <w:rsid w:val="00B67DC2"/>
    <w:rsid w:val="00BF49FD"/>
    <w:rsid w:val="00C9266B"/>
    <w:rsid w:val="00C97659"/>
    <w:rsid w:val="00CD7D3A"/>
    <w:rsid w:val="00D36065"/>
    <w:rsid w:val="00D40FEB"/>
    <w:rsid w:val="00D4658C"/>
    <w:rsid w:val="00E37E73"/>
    <w:rsid w:val="00E86FEF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741D-4D7D-4CB5-9B39-550BCA1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66"/>
    <w:rPr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35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D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7956"/>
    <w:rPr>
      <w:color w:val="0000FF"/>
      <w:u w:val="single"/>
    </w:rPr>
  </w:style>
  <w:style w:type="paragraph" w:styleId="Header">
    <w:name w:val="header"/>
    <w:basedOn w:val="Normal"/>
    <w:rsid w:val="00A226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6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0B44"/>
  </w:style>
  <w:style w:type="paragraph" w:styleId="BalloonText">
    <w:name w:val="Balloon Text"/>
    <w:basedOn w:val="Normal"/>
    <w:semiHidden/>
    <w:rsid w:val="00D4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registry/nfa/nfaar-pgt-appendix-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th.ac.uk/registry/nfa/nfaar-pgt-appendix-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h.ac.uk/registry/nfa/nfaar-pgt-appendix-1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C5D8F482.dotm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code </vt:lpstr>
    </vt:vector>
  </TitlesOfParts>
  <Company>University of Bath</Company>
  <LinksUpToDate>false</LinksUpToDate>
  <CharactersWithSpaces>2315</CharactersWithSpaces>
  <SharedDoc>false</SharedDoc>
  <HLinks>
    <vt:vector size="18" baseType="variant"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http://www.bath.ac.uk/registry/nfa/nfaar-pgt-appendix-13.pdf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http://www.bath.ac.uk/registry/nfa/nfaar-pgt-appendix-12.pdf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http://www.bath.ac.uk/registry/nfa/nfaar-pgt-appendix-11.pdf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code</dc:title>
  <dc:subject/>
  <dc:creator>Helen Buick</dc:creator>
  <cp:keywords/>
  <dc:description/>
  <cp:lastModifiedBy>Wendy Hopkins</cp:lastModifiedBy>
  <cp:revision>2</cp:revision>
  <cp:lastPrinted>2011-06-23T19:22:00Z</cp:lastPrinted>
  <dcterms:created xsi:type="dcterms:W3CDTF">2015-07-27T13:30:00Z</dcterms:created>
  <dcterms:modified xsi:type="dcterms:W3CDTF">2015-07-27T13:30:00Z</dcterms:modified>
</cp:coreProperties>
</file>