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8EB60" w14:textId="6AF2D23B" w:rsidR="002446C4" w:rsidRPr="00B15F29" w:rsidRDefault="00104E81" w:rsidP="00E077A9">
      <w:pPr>
        <w:jc w:val="center"/>
        <w:rPr>
          <w:b/>
          <w:bCs/>
          <w:sz w:val="48"/>
          <w:szCs w:val="48"/>
        </w:rPr>
      </w:pPr>
      <w:bookmarkStart w:id="0" w:name="_Hlk183437756"/>
      <w:r w:rsidRPr="00B15F29">
        <w:rPr>
          <w:b/>
          <w:bCs/>
          <w:sz w:val="48"/>
          <w:szCs w:val="48"/>
        </w:rPr>
        <w:t xml:space="preserve">Response to </w:t>
      </w:r>
      <w:r w:rsidR="00457CFF" w:rsidRPr="00B15F29">
        <w:rPr>
          <w:b/>
          <w:bCs/>
          <w:sz w:val="48"/>
          <w:szCs w:val="48"/>
        </w:rPr>
        <w:t>‘</w:t>
      </w:r>
      <w:r w:rsidR="00457CFF" w:rsidRPr="00B15F29">
        <w:rPr>
          <w:b/>
          <w:bCs/>
          <w:i/>
          <w:iCs/>
          <w:sz w:val="48"/>
          <w:szCs w:val="48"/>
        </w:rPr>
        <w:t>Invest 2035</w:t>
      </w:r>
      <w:bookmarkEnd w:id="0"/>
      <w:r w:rsidR="00457CFF" w:rsidRPr="00B15F29">
        <w:rPr>
          <w:b/>
          <w:bCs/>
          <w:i/>
          <w:iCs/>
          <w:sz w:val="48"/>
          <w:szCs w:val="48"/>
        </w:rPr>
        <w:t>: the UK’s modern industrial strategy</w:t>
      </w:r>
      <w:r w:rsidR="00457CFF" w:rsidRPr="00B15F29">
        <w:rPr>
          <w:b/>
          <w:bCs/>
          <w:sz w:val="48"/>
          <w:szCs w:val="48"/>
        </w:rPr>
        <w:t xml:space="preserve">’ </w:t>
      </w:r>
      <w:r w:rsidRPr="00B15F29">
        <w:rPr>
          <w:b/>
          <w:bCs/>
          <w:sz w:val="48"/>
          <w:szCs w:val="48"/>
        </w:rPr>
        <w:t>Green Paper</w:t>
      </w:r>
    </w:p>
    <w:p w14:paraId="56E6D85D" w14:textId="77777777" w:rsidR="00536B8D" w:rsidRDefault="00536B8D" w:rsidP="007A3782">
      <w:pPr>
        <w:rPr>
          <w:b/>
          <w:bCs/>
          <w:i/>
          <w:iCs/>
        </w:rPr>
      </w:pPr>
    </w:p>
    <w:p w14:paraId="63F9E80B" w14:textId="1C37E2D2" w:rsidR="00D63FBA" w:rsidRPr="00457CFF" w:rsidRDefault="00D63FBA" w:rsidP="00B15F29">
      <w:pPr>
        <w:tabs>
          <w:tab w:val="center" w:pos="4513"/>
        </w:tabs>
        <w:rPr>
          <w:b/>
          <w:bCs/>
          <w:i/>
          <w:iCs/>
          <w:sz w:val="28"/>
          <w:szCs w:val="28"/>
        </w:rPr>
      </w:pPr>
      <w:r w:rsidRPr="00457CFF">
        <w:rPr>
          <w:b/>
          <w:bCs/>
          <w:i/>
          <w:iCs/>
          <w:sz w:val="28"/>
          <w:szCs w:val="28"/>
        </w:rPr>
        <w:t xml:space="preserve">Contributors: </w:t>
      </w:r>
      <w:r w:rsidR="00B15F29">
        <w:rPr>
          <w:b/>
          <w:bCs/>
          <w:i/>
          <w:iCs/>
          <w:sz w:val="28"/>
          <w:szCs w:val="28"/>
        </w:rPr>
        <w:tab/>
      </w:r>
    </w:p>
    <w:p w14:paraId="5A022F85" w14:textId="022D3B35" w:rsidR="00104E81" w:rsidRPr="00457CFF" w:rsidRDefault="003641F2" w:rsidP="007A3782">
      <w:pPr>
        <w:rPr>
          <w:sz w:val="28"/>
          <w:szCs w:val="28"/>
        </w:rPr>
      </w:pPr>
      <w:r w:rsidRPr="00457CFF">
        <w:rPr>
          <w:sz w:val="28"/>
          <w:szCs w:val="28"/>
        </w:rPr>
        <w:t>Dr Chris Dimos, Dr Felicia Fai, Prof</w:t>
      </w:r>
      <w:r w:rsidR="00FC0652">
        <w:rPr>
          <w:sz w:val="28"/>
          <w:szCs w:val="28"/>
        </w:rPr>
        <w:t>essor</w:t>
      </w:r>
      <w:r w:rsidRPr="00457CFF">
        <w:rPr>
          <w:sz w:val="28"/>
          <w:szCs w:val="28"/>
        </w:rPr>
        <w:t xml:space="preserve"> Phil</w:t>
      </w:r>
      <w:r w:rsidR="00FC0652">
        <w:rPr>
          <w:sz w:val="28"/>
          <w:szCs w:val="28"/>
        </w:rPr>
        <w:t>ip</w:t>
      </w:r>
      <w:r w:rsidRPr="00457CFF">
        <w:rPr>
          <w:sz w:val="28"/>
          <w:szCs w:val="28"/>
        </w:rPr>
        <w:t xml:space="preserve"> Tomlinson                                                                                (</w:t>
      </w:r>
      <w:r w:rsidR="00104E81" w:rsidRPr="00457CFF">
        <w:rPr>
          <w:sz w:val="28"/>
          <w:szCs w:val="28"/>
        </w:rPr>
        <w:t>C</w:t>
      </w:r>
      <w:r w:rsidR="00193B28" w:rsidRPr="00457CFF">
        <w:rPr>
          <w:sz w:val="28"/>
          <w:szCs w:val="28"/>
        </w:rPr>
        <w:t xml:space="preserve">entre for Governance, Regulation &amp; </w:t>
      </w:r>
      <w:r w:rsidR="00104E81" w:rsidRPr="00457CFF">
        <w:rPr>
          <w:sz w:val="28"/>
          <w:szCs w:val="28"/>
        </w:rPr>
        <w:t>I</w:t>
      </w:r>
      <w:r w:rsidR="00193B28" w:rsidRPr="00457CFF">
        <w:rPr>
          <w:sz w:val="28"/>
          <w:szCs w:val="28"/>
        </w:rPr>
        <w:t xml:space="preserve">ndustrial </w:t>
      </w:r>
      <w:r w:rsidR="00104E81" w:rsidRPr="00457CFF">
        <w:rPr>
          <w:sz w:val="28"/>
          <w:szCs w:val="28"/>
        </w:rPr>
        <w:t>S</w:t>
      </w:r>
      <w:r w:rsidR="00193B28" w:rsidRPr="00457CFF">
        <w:rPr>
          <w:sz w:val="28"/>
          <w:szCs w:val="28"/>
        </w:rPr>
        <w:t>trategy (</w:t>
      </w:r>
      <w:proofErr w:type="spellStart"/>
      <w:r w:rsidR="00193B28" w:rsidRPr="00457CFF">
        <w:rPr>
          <w:sz w:val="28"/>
          <w:szCs w:val="28"/>
        </w:rPr>
        <w:t>CGR&amp;IS</w:t>
      </w:r>
      <w:proofErr w:type="spellEnd"/>
      <w:r w:rsidR="00193B28" w:rsidRPr="00457CFF">
        <w:rPr>
          <w:sz w:val="28"/>
          <w:szCs w:val="28"/>
        </w:rPr>
        <w:t>)</w:t>
      </w:r>
      <w:r w:rsidR="00104E81" w:rsidRPr="00457CFF">
        <w:rPr>
          <w:sz w:val="28"/>
          <w:szCs w:val="28"/>
        </w:rPr>
        <w:t xml:space="preserve">, </w:t>
      </w:r>
      <w:r w:rsidRPr="00457CFF">
        <w:rPr>
          <w:sz w:val="28"/>
          <w:szCs w:val="28"/>
        </w:rPr>
        <w:t xml:space="preserve">School of Management, </w:t>
      </w:r>
      <w:r w:rsidR="00104E81" w:rsidRPr="00457CFF">
        <w:rPr>
          <w:sz w:val="28"/>
          <w:szCs w:val="28"/>
        </w:rPr>
        <w:t>University of Bath</w:t>
      </w:r>
      <w:r w:rsidRPr="00457CFF">
        <w:rPr>
          <w:sz w:val="28"/>
          <w:szCs w:val="28"/>
        </w:rPr>
        <w:t>)</w:t>
      </w:r>
    </w:p>
    <w:p w14:paraId="62A9834D" w14:textId="1EDAE414" w:rsidR="006B00EE" w:rsidRPr="00457CFF" w:rsidRDefault="006B00EE" w:rsidP="007A3782">
      <w:pPr>
        <w:rPr>
          <w:sz w:val="28"/>
          <w:szCs w:val="28"/>
        </w:rPr>
      </w:pPr>
      <w:r w:rsidRPr="00457CFF">
        <w:rPr>
          <w:sz w:val="28"/>
          <w:szCs w:val="28"/>
        </w:rPr>
        <w:t>Prof</w:t>
      </w:r>
      <w:r w:rsidR="00FC0652">
        <w:rPr>
          <w:sz w:val="28"/>
          <w:szCs w:val="28"/>
        </w:rPr>
        <w:t>essor</w:t>
      </w:r>
      <w:r w:rsidRPr="00457CFF">
        <w:rPr>
          <w:sz w:val="28"/>
          <w:szCs w:val="28"/>
        </w:rPr>
        <w:t xml:space="preserve"> David Bailey, Prof</w:t>
      </w:r>
      <w:r w:rsidR="00FC0652">
        <w:rPr>
          <w:sz w:val="28"/>
          <w:szCs w:val="28"/>
        </w:rPr>
        <w:t>essor</w:t>
      </w:r>
      <w:r w:rsidRPr="00457CFF">
        <w:rPr>
          <w:sz w:val="28"/>
          <w:szCs w:val="28"/>
        </w:rPr>
        <w:t xml:space="preserve"> Lisa De </w:t>
      </w:r>
      <w:proofErr w:type="spellStart"/>
      <w:r w:rsidRPr="00457CFF">
        <w:rPr>
          <w:sz w:val="28"/>
          <w:szCs w:val="28"/>
        </w:rPr>
        <w:t>Propris</w:t>
      </w:r>
      <w:proofErr w:type="spellEnd"/>
      <w:r w:rsidRPr="00457CFF">
        <w:rPr>
          <w:sz w:val="28"/>
          <w:szCs w:val="28"/>
        </w:rPr>
        <w:t xml:space="preserve">, Mr David Hearne (Birmingham, Business School, University of Birmingham) </w:t>
      </w:r>
    </w:p>
    <w:p w14:paraId="3D877325" w14:textId="55F3F174" w:rsidR="00536B8D" w:rsidRPr="00457CFF" w:rsidRDefault="00457CFF" w:rsidP="007A3782">
      <w:pPr>
        <w:rPr>
          <w:sz w:val="28"/>
          <w:szCs w:val="28"/>
        </w:rPr>
      </w:pPr>
      <w:r w:rsidRPr="00457CFF">
        <w:rPr>
          <w:sz w:val="28"/>
          <w:szCs w:val="28"/>
        </w:rPr>
        <w:t>Sally Hardy, independent consultant and former Chief Executive Officer, Regional Studies Association.</w:t>
      </w:r>
    </w:p>
    <w:p w14:paraId="5A366AE2" w14:textId="77777777" w:rsidR="00457CFF" w:rsidRDefault="00457CFF" w:rsidP="007A3782"/>
    <w:p w14:paraId="7042B1C1" w14:textId="71073BA1" w:rsidR="00D63FBA" w:rsidRPr="00536B8D" w:rsidRDefault="00D63FBA" w:rsidP="003A15A3">
      <w:pPr>
        <w:jc w:val="both"/>
      </w:pPr>
      <w:r w:rsidRPr="00536B8D">
        <w:t xml:space="preserve">We respond to several questions below. Our key, overarching point in response to the Green Paper is any new industrial strategy for the UK needs to link places, sectors and technologies. Effective institutions </w:t>
      </w:r>
      <w:r w:rsidR="003D0B2A" w:rsidRPr="00536B8D">
        <w:t xml:space="preserve">and policies </w:t>
      </w:r>
      <w:r w:rsidRPr="00536B8D">
        <w:t>at a meso-scale (i</w:t>
      </w:r>
      <w:r w:rsidR="007477E3" w:rsidRPr="00536B8D">
        <w:t>.</w:t>
      </w:r>
      <w:r w:rsidRPr="00536B8D">
        <w:t>e</w:t>
      </w:r>
      <w:r w:rsidR="007477E3" w:rsidRPr="00536B8D">
        <w:t>.</w:t>
      </w:r>
      <w:r w:rsidRPr="00536B8D">
        <w:t xml:space="preserve"> regional) scale are essential in joining up these dimensions and delivering the objectives of the Green Paper. There is now an opportunity to devolve industrial strategy capacities </w:t>
      </w:r>
      <w:r w:rsidR="003D0B2A" w:rsidRPr="00536B8D">
        <w:t xml:space="preserve">and policies </w:t>
      </w:r>
      <w:r w:rsidRPr="00536B8D">
        <w:t>to regions.</w:t>
      </w:r>
    </w:p>
    <w:p w14:paraId="7CADEF91" w14:textId="3B20B168" w:rsidR="00903C95" w:rsidRPr="00536B8D" w:rsidRDefault="0072766E" w:rsidP="007A3782">
      <w:pPr>
        <w:rPr>
          <w:b/>
          <w:bCs/>
        </w:rPr>
      </w:pPr>
      <w:r w:rsidRPr="00536B8D">
        <w:rPr>
          <w:b/>
          <w:bCs/>
        </w:rPr>
        <w:t>Sector Methodology</w:t>
      </w:r>
    </w:p>
    <w:p w14:paraId="37CC8377" w14:textId="2831EAAD" w:rsidR="00903C95" w:rsidRPr="00240327" w:rsidRDefault="0072766E" w:rsidP="00240327">
      <w:pPr>
        <w:pStyle w:val="ListParagraph"/>
        <w:numPr>
          <w:ilvl w:val="0"/>
          <w:numId w:val="7"/>
        </w:numPr>
        <w:rPr>
          <w:i/>
          <w:iCs/>
        </w:rPr>
      </w:pPr>
      <w:r w:rsidRPr="00240327">
        <w:rPr>
          <w:i/>
          <w:iCs/>
        </w:rPr>
        <w:t xml:space="preserve">How should the UK government identify the most important subsectors for delivering our objectives? </w:t>
      </w:r>
    </w:p>
    <w:p w14:paraId="04DDCF3F" w14:textId="40E41EFF" w:rsidR="00D01ECD" w:rsidRPr="00536B8D" w:rsidRDefault="003A15A3" w:rsidP="003A15A3">
      <w:pPr>
        <w:jc w:val="both"/>
      </w:pPr>
      <w:r w:rsidRPr="003A15A3">
        <w:rPr>
          <w:b/>
          <w:bCs/>
          <w:i/>
          <w:iCs/>
        </w:rPr>
        <w:t>Response:</w:t>
      </w:r>
      <w:r>
        <w:t xml:space="preserve"> </w:t>
      </w:r>
      <w:r w:rsidR="00D01ECD" w:rsidRPr="00536B8D">
        <w:t xml:space="preserve">A mapping exercise could identify </w:t>
      </w:r>
      <w:r w:rsidR="00480C59" w:rsidRPr="00536B8D">
        <w:t>two</w:t>
      </w:r>
      <w:r w:rsidR="00D01ECD" w:rsidRPr="00536B8D">
        <w:t xml:space="preserve"> types of sectors:</w:t>
      </w:r>
      <w:r w:rsidR="00854EA4" w:rsidRPr="00536B8D">
        <w:t xml:space="preserve">  1)</w:t>
      </w:r>
      <w:r w:rsidR="00D01ECD" w:rsidRPr="00536B8D">
        <w:t xml:space="preserve"> sectors </w:t>
      </w:r>
      <w:r w:rsidR="00040A05">
        <w:t xml:space="preserve">in which </w:t>
      </w:r>
      <w:r w:rsidR="00D01ECD" w:rsidRPr="00536B8D">
        <w:t xml:space="preserve">the UK has a strong competitive advantage and are in need to </w:t>
      </w:r>
      <w:r w:rsidR="00854EA4" w:rsidRPr="00536B8D">
        <w:t>transiting on to the new digital and/or green technological paradigm (auto, aerospace, pharma, digital, media</w:t>
      </w:r>
      <w:r w:rsidR="00480C59" w:rsidRPr="00536B8D">
        <w:t>); and 2) new emerging sector (clean energy, security) that will grow in the future and where clear leading players are still in the making. A third type of sector could be scoped with forecast exercises on for instance aging, urbanisation, mobility, food security or climate change.</w:t>
      </w:r>
    </w:p>
    <w:p w14:paraId="0B19127A" w14:textId="7104E26B" w:rsidR="00040A05" w:rsidRDefault="00480C59" w:rsidP="003A15A3">
      <w:pPr>
        <w:jc w:val="both"/>
      </w:pPr>
      <w:r w:rsidRPr="00536B8D">
        <w:t>All the above sectors are articulated in value chains that are not UK based only</w:t>
      </w:r>
      <w:r w:rsidR="003A15A3">
        <w:t xml:space="preserve"> </w:t>
      </w:r>
      <w:r w:rsidRPr="00536B8D">
        <w:t xml:space="preserve">but stretch across the EU and worldwide. The smoother </w:t>
      </w:r>
      <w:r w:rsidR="00040A05">
        <w:t xml:space="preserve">that </w:t>
      </w:r>
      <w:r w:rsidRPr="00536B8D">
        <w:t xml:space="preserve">trade is between the UK and these economies, the easier </w:t>
      </w:r>
      <w:r w:rsidR="00040A05">
        <w:t xml:space="preserve">it is to build </w:t>
      </w:r>
      <w:r w:rsidRPr="00536B8D">
        <w:t xml:space="preserve">resilience </w:t>
      </w:r>
      <w:r w:rsidR="00040A05">
        <w:t>in</w:t>
      </w:r>
      <w:r w:rsidRPr="00536B8D">
        <w:t xml:space="preserve"> the value chain. </w:t>
      </w:r>
    </w:p>
    <w:p w14:paraId="4A95AAA7" w14:textId="35F2716B" w:rsidR="00480C59" w:rsidRDefault="00040A05" w:rsidP="003A15A3">
      <w:pPr>
        <w:jc w:val="both"/>
      </w:pPr>
      <w:r>
        <w:lastRenderedPageBreak/>
        <w:t>I</w:t>
      </w:r>
      <w:r w:rsidR="00480C59" w:rsidRPr="00536B8D">
        <w:t xml:space="preserve">dentifying sectors is not sufficient, what matters is what technologies they </w:t>
      </w:r>
      <w:r w:rsidR="009F1A8F" w:rsidRPr="00536B8D">
        <w:t xml:space="preserve">will rest on in the next 50 years and how international are their value chains. </w:t>
      </w:r>
      <w:r w:rsidR="00480C59" w:rsidRPr="00536B8D">
        <w:t xml:space="preserve">Barriers to intra-industry trade will damage the ability of </w:t>
      </w:r>
      <w:r w:rsidR="009F1A8F" w:rsidRPr="00536B8D">
        <w:t>deliver UK competitiveness.</w:t>
      </w:r>
    </w:p>
    <w:p w14:paraId="7F8A2AF8" w14:textId="77777777" w:rsidR="003A15A3" w:rsidRPr="00536B8D" w:rsidRDefault="003A15A3" w:rsidP="003A15A3">
      <w:pPr>
        <w:jc w:val="both"/>
      </w:pPr>
    </w:p>
    <w:p w14:paraId="0BE58882" w14:textId="2D885DDF" w:rsidR="00255BFB" w:rsidRPr="00240327" w:rsidRDefault="0072766E" w:rsidP="00240327">
      <w:pPr>
        <w:pStyle w:val="ListParagraph"/>
        <w:numPr>
          <w:ilvl w:val="0"/>
          <w:numId w:val="7"/>
        </w:numPr>
        <w:rPr>
          <w:i/>
          <w:iCs/>
        </w:rPr>
      </w:pPr>
      <w:r w:rsidRPr="00240327">
        <w:rPr>
          <w:i/>
          <w:iCs/>
        </w:rPr>
        <w:t>How should the UK government account for emerging sectors and technologies for which conventional data sources are less appropriate?</w:t>
      </w:r>
    </w:p>
    <w:p w14:paraId="6DC554CA" w14:textId="53132F77" w:rsidR="009F1A8F" w:rsidRPr="00536B8D" w:rsidRDefault="003A15A3" w:rsidP="003A15A3">
      <w:pPr>
        <w:jc w:val="both"/>
      </w:pPr>
      <w:r w:rsidRPr="003A15A3">
        <w:rPr>
          <w:b/>
          <w:bCs/>
          <w:i/>
          <w:iCs/>
        </w:rPr>
        <w:t>Response:</w:t>
      </w:r>
      <w:r>
        <w:t xml:space="preserve"> </w:t>
      </w:r>
      <w:r w:rsidR="009F1A8F" w:rsidRPr="00536B8D">
        <w:t xml:space="preserve">The ONS </w:t>
      </w:r>
      <w:proofErr w:type="gramStart"/>
      <w:r w:rsidR="009F1A8F" w:rsidRPr="00536B8D">
        <w:t>has to</w:t>
      </w:r>
      <w:proofErr w:type="gramEnd"/>
      <w:r w:rsidR="009F1A8F" w:rsidRPr="00536B8D">
        <w:t xml:space="preserve"> step up and provide more accurate, up to date and </w:t>
      </w:r>
      <w:r w:rsidRPr="00536B8D">
        <w:t>fine-grained</w:t>
      </w:r>
      <w:r w:rsidR="009F1A8F" w:rsidRPr="00536B8D">
        <w:t xml:space="preserve"> data. </w:t>
      </w:r>
      <w:r>
        <w:t>An a</w:t>
      </w:r>
      <w:r w:rsidR="009F1A8F" w:rsidRPr="00536B8D">
        <w:t xml:space="preserve">d-hoc large survey could be run to collect statistically significant data that </w:t>
      </w:r>
      <w:r w:rsidR="00040A05">
        <w:t>could</w:t>
      </w:r>
      <w:r w:rsidR="009F1A8F" w:rsidRPr="00536B8D">
        <w:t xml:space="preserve"> be used to scope out possible actions and implications.</w:t>
      </w:r>
    </w:p>
    <w:p w14:paraId="508E86CF" w14:textId="69613898" w:rsidR="009D5C92" w:rsidRPr="00536B8D" w:rsidRDefault="009D5C92" w:rsidP="003A15A3">
      <w:pPr>
        <w:jc w:val="both"/>
      </w:pPr>
      <w:r w:rsidRPr="00536B8D">
        <w:t xml:space="preserve">Traditional data sources, such as Standard Industrial Classification (SIC) codes from the ONS, have limitations in capturing emerging sectors due to infrequent updating and misclassification. This data therefore </w:t>
      </w:r>
      <w:r w:rsidR="00EA0A47" w:rsidRPr="00536B8D">
        <w:t>fails</w:t>
      </w:r>
      <w:r w:rsidRPr="00536B8D">
        <w:t xml:space="preserve"> to </w:t>
      </w:r>
      <w:r w:rsidR="006338DB" w:rsidRPr="00536B8D">
        <w:t>capture the fluid nature of new industries such as AI, quantum computing, or renewable energy technologies and emerging technologies that span multiple sectors (e.g., FinTech which combines finance and technology).</w:t>
      </w:r>
    </w:p>
    <w:p w14:paraId="078BB0BE" w14:textId="40418A35" w:rsidR="009D5C92" w:rsidRPr="00536B8D" w:rsidRDefault="009D5C92" w:rsidP="003A15A3">
      <w:pPr>
        <w:jc w:val="both"/>
      </w:pPr>
      <w:r w:rsidRPr="00536B8D">
        <w:t>Real-time data platforms, such as</w:t>
      </w:r>
      <w:r w:rsidR="005350F1" w:rsidRPr="00536B8D">
        <w:t xml:space="preserve"> the</w:t>
      </w:r>
      <w:r w:rsidRPr="00536B8D">
        <w:t xml:space="preserve"> </w:t>
      </w:r>
      <w:proofErr w:type="spellStart"/>
      <w:r w:rsidRPr="00536B8D">
        <w:t>DataCity</w:t>
      </w:r>
      <w:proofErr w:type="spellEnd"/>
      <w:r w:rsidRPr="00536B8D">
        <w:t>, offer an innovative solution to these challenges by providing dynamic</w:t>
      </w:r>
      <w:r w:rsidR="005350F1" w:rsidRPr="00536B8D">
        <w:t xml:space="preserve"> and</w:t>
      </w:r>
      <w:r w:rsidRPr="00536B8D">
        <w:t xml:space="preserve"> granular insights into emerging industries.</w:t>
      </w:r>
      <w:r w:rsidR="005350F1" w:rsidRPr="00536B8D">
        <w:t xml:space="preserve"> By integrating </w:t>
      </w:r>
      <w:proofErr w:type="spellStart"/>
      <w:r w:rsidRPr="00536B8D">
        <w:t>DataCity</w:t>
      </w:r>
      <w:proofErr w:type="spellEnd"/>
      <w:r w:rsidRPr="00536B8D">
        <w:t xml:space="preserve"> or similar platforms into national statistical and policy frameworks </w:t>
      </w:r>
      <w:r w:rsidR="005350F1" w:rsidRPr="00536B8D">
        <w:t>would</w:t>
      </w:r>
      <w:r w:rsidRPr="00536B8D">
        <w:t xml:space="preserve"> complement traditional data sources</w:t>
      </w:r>
      <w:r w:rsidR="005350F1" w:rsidRPr="00536B8D">
        <w:t xml:space="preserve"> and better account for emerging sectors and technologies. </w:t>
      </w:r>
    </w:p>
    <w:p w14:paraId="56D8D008" w14:textId="77777777" w:rsidR="00853534" w:rsidRDefault="00853534" w:rsidP="00853534">
      <w:pPr>
        <w:ind w:left="644"/>
        <w:rPr>
          <w:i/>
          <w:iCs/>
        </w:rPr>
      </w:pPr>
    </w:p>
    <w:p w14:paraId="6E073CCF" w14:textId="77777777" w:rsidR="00903C95" w:rsidRPr="00536B8D" w:rsidRDefault="0072766E" w:rsidP="007A3782">
      <w:pPr>
        <w:rPr>
          <w:b/>
          <w:bCs/>
        </w:rPr>
      </w:pPr>
      <w:r w:rsidRPr="00536B8D">
        <w:rPr>
          <w:b/>
          <w:bCs/>
        </w:rPr>
        <w:t>Sectors</w:t>
      </w:r>
    </w:p>
    <w:p w14:paraId="26B4BA1A" w14:textId="0F538378" w:rsidR="00903C95" w:rsidRPr="00240327" w:rsidRDefault="0072766E" w:rsidP="00240327">
      <w:pPr>
        <w:pStyle w:val="ListParagraph"/>
        <w:numPr>
          <w:ilvl w:val="0"/>
          <w:numId w:val="8"/>
        </w:numPr>
        <w:rPr>
          <w:i/>
          <w:iCs/>
        </w:rPr>
      </w:pPr>
      <w:r w:rsidRPr="00240327">
        <w:rPr>
          <w:i/>
          <w:iCs/>
        </w:rPr>
        <w:t>What are the most important subsectors and technologies that the UK government should focus on and why?</w:t>
      </w:r>
    </w:p>
    <w:p w14:paraId="4861DB5E" w14:textId="7B367893" w:rsidR="00014CE9" w:rsidRPr="00536B8D" w:rsidRDefault="003A15A3" w:rsidP="003A15A3">
      <w:pPr>
        <w:jc w:val="both"/>
      </w:pPr>
      <w:r w:rsidRPr="003A15A3">
        <w:rPr>
          <w:b/>
          <w:bCs/>
          <w:i/>
          <w:iCs/>
        </w:rPr>
        <w:t>Response:</w:t>
      </w:r>
      <w:r>
        <w:t xml:space="preserve"> </w:t>
      </w:r>
      <w:r w:rsidR="00014CE9" w:rsidRPr="00536B8D">
        <w:t xml:space="preserve">Of the 32.6% increase in labour productivity (output per hour) that the UK has experienced since 1998, the cumulative contributions of manufacturing and information &amp; communications (especially telecoms) account for the overwhelming majority </w:t>
      </w:r>
      <w:bookmarkStart w:id="1" w:name="ZOTERO_BREF_jO8V5YNveLDL"/>
      <w:r w:rsidR="00014CE9" w:rsidRPr="00536B8D">
        <w:t>(Office for National Statistics, 2024)</w:t>
      </w:r>
      <w:bookmarkEnd w:id="1"/>
      <w:r w:rsidR="00014CE9" w:rsidRPr="00536B8D">
        <w:t xml:space="preserve">. Moreover, it is these industries that account for the majority of the post-2008 slowdown in productivity growth </w:t>
      </w:r>
      <w:bookmarkStart w:id="2" w:name="ZOTERO_BREF_ZxOlxoNX2Ug9"/>
      <w:r w:rsidR="00014CE9" w:rsidRPr="00536B8D">
        <w:t>(Coyle &amp; Mei, 2023)</w:t>
      </w:r>
      <w:bookmarkEnd w:id="2"/>
      <w:r>
        <w:t>.</w:t>
      </w:r>
      <w:r w:rsidR="00014CE9" w:rsidRPr="00536B8D">
        <w:t xml:space="preserve"> As such, any meaningful attempt to significantly improve aggregate productivity growth will need to address these sectors – particularly the manufacture of pharmaceuticals, transport equipment and telecommunications.</w:t>
      </w:r>
    </w:p>
    <w:p w14:paraId="2AF4CA8D" w14:textId="77777777" w:rsidR="00014CE9" w:rsidRPr="00536B8D" w:rsidRDefault="00014CE9" w:rsidP="003A15A3">
      <w:pPr>
        <w:jc w:val="both"/>
      </w:pPr>
      <w:r w:rsidRPr="00536B8D">
        <w:t>More widely, t</w:t>
      </w:r>
      <w:r w:rsidR="00DD4D7A" w:rsidRPr="00536B8D">
        <w:t xml:space="preserve">he </w:t>
      </w:r>
      <w:r w:rsidR="00177EB4" w:rsidRPr="00536B8D">
        <w:t xml:space="preserve">Green </w:t>
      </w:r>
      <w:r w:rsidR="00DD4D7A" w:rsidRPr="00536B8D">
        <w:t>paper makes no reference to recent developments surrounding Industry 4.0. This is a new manufacturing paradigm, based around firms utilising the latest digital, cyber and information technologies to re-organise manufacturing within so-</w:t>
      </w:r>
      <w:r w:rsidR="00DD4D7A" w:rsidRPr="00536B8D">
        <w:lastRenderedPageBreak/>
        <w:t>called ‘smart factories</w:t>
      </w:r>
      <w:proofErr w:type="gramStart"/>
      <w:r w:rsidR="00DD4D7A" w:rsidRPr="00536B8D">
        <w:t>’,</w:t>
      </w:r>
      <w:proofErr w:type="gramEnd"/>
      <w:r w:rsidR="00DD4D7A" w:rsidRPr="00536B8D">
        <w:t xml:space="preserve"> alongside a closer alignment of services (including design and post-sale services) and customised products (commonly referred to as ‘</w:t>
      </w:r>
      <w:proofErr w:type="spellStart"/>
      <w:r w:rsidR="00DD4D7A" w:rsidRPr="00536B8D">
        <w:t>servitization</w:t>
      </w:r>
      <w:proofErr w:type="spellEnd"/>
      <w:r w:rsidR="00DD4D7A" w:rsidRPr="00536B8D">
        <w:t>’).</w:t>
      </w:r>
    </w:p>
    <w:p w14:paraId="47184868" w14:textId="7AD68AF2" w:rsidR="00245175" w:rsidRPr="00536B8D" w:rsidRDefault="00DD4D7A" w:rsidP="003A15A3">
      <w:pPr>
        <w:jc w:val="both"/>
      </w:pPr>
      <w:r w:rsidRPr="00536B8D">
        <w:t xml:space="preserve">These trends </w:t>
      </w:r>
      <w:r w:rsidR="0029017F" w:rsidRPr="00536B8D">
        <w:t xml:space="preserve">could </w:t>
      </w:r>
      <w:r w:rsidRPr="00536B8D">
        <w:t xml:space="preserve">place a greater emphasis upon small-scale local production, </w:t>
      </w:r>
      <w:r w:rsidR="00F93545" w:rsidRPr="00536B8D">
        <w:t xml:space="preserve">and distributed manufacturing </w:t>
      </w:r>
      <w:r w:rsidRPr="00536B8D">
        <w:t xml:space="preserve">which </w:t>
      </w:r>
      <w:r w:rsidR="0029017F" w:rsidRPr="00536B8D">
        <w:t xml:space="preserve">will </w:t>
      </w:r>
      <w:r w:rsidRPr="00536B8D">
        <w:t xml:space="preserve">not only reduce environmental footprints but also offer an opportunity for a re-coupling of manufacturing and innovation (Bailey and De </w:t>
      </w:r>
      <w:proofErr w:type="spellStart"/>
      <w:r w:rsidRPr="00536B8D">
        <w:t>Propris</w:t>
      </w:r>
      <w:proofErr w:type="spellEnd"/>
      <w:r w:rsidRPr="00536B8D">
        <w:t>, 2014)</w:t>
      </w:r>
      <w:r w:rsidR="00040A05">
        <w:t xml:space="preserve"> as well as possibilities for re-shoring.</w:t>
      </w:r>
    </w:p>
    <w:p w14:paraId="49EB51D3" w14:textId="5CD2F027" w:rsidR="00014CE9" w:rsidRPr="00536B8D" w:rsidRDefault="00D00474" w:rsidP="003A15A3">
      <w:pPr>
        <w:jc w:val="both"/>
      </w:pPr>
      <w:r w:rsidRPr="00536B8D">
        <w:t>T</w:t>
      </w:r>
      <w:r w:rsidR="00DD4D7A" w:rsidRPr="00536B8D">
        <w:t xml:space="preserve">he </w:t>
      </w:r>
      <w:r w:rsidR="0029017F" w:rsidRPr="00536B8D">
        <w:t xml:space="preserve">focus </w:t>
      </w:r>
      <w:r w:rsidR="00D17061" w:rsidRPr="00536B8D">
        <w:t xml:space="preserve">in the Green Paper </w:t>
      </w:r>
      <w:r w:rsidR="0029017F" w:rsidRPr="00536B8D">
        <w:t xml:space="preserve">on </w:t>
      </w:r>
      <w:r w:rsidR="00DD4D7A" w:rsidRPr="00536B8D">
        <w:t xml:space="preserve">R&amp;D is very </w:t>
      </w:r>
      <w:r w:rsidR="00D17061" w:rsidRPr="00536B8D">
        <w:t xml:space="preserve">supply-side and </w:t>
      </w:r>
      <w:r w:rsidR="00DD4D7A" w:rsidRPr="00536B8D">
        <w:t>‘sector focused’</w:t>
      </w:r>
      <w:r w:rsidR="00F860B8" w:rsidRPr="00536B8D">
        <w:t xml:space="preserve"> – i.e. on sectors of new technology generation</w:t>
      </w:r>
      <w:r w:rsidRPr="00536B8D">
        <w:t xml:space="preserve">. </w:t>
      </w:r>
      <w:r w:rsidR="005D3252" w:rsidRPr="00536B8D">
        <w:t xml:space="preserve">As a result of existing strengths, this approach runs the risk of </w:t>
      </w:r>
      <w:r w:rsidR="003A15A3" w:rsidRPr="00536B8D">
        <w:t>reinforcing</w:t>
      </w:r>
      <w:r w:rsidR="005D3252" w:rsidRPr="00536B8D">
        <w:t xml:space="preserve"> or exac</w:t>
      </w:r>
      <w:r w:rsidR="002D7C29" w:rsidRPr="00536B8D">
        <w:t>erbating current regional inequalities</w:t>
      </w:r>
      <w:proofErr w:type="gramStart"/>
      <w:r w:rsidR="002D7C29" w:rsidRPr="00536B8D">
        <w:t xml:space="preserve">. </w:t>
      </w:r>
      <w:r w:rsidR="00DD4D7A" w:rsidRPr="00536B8D">
        <w:t xml:space="preserve"> </w:t>
      </w:r>
      <w:proofErr w:type="gramEnd"/>
      <w:r w:rsidR="00A40BA4" w:rsidRPr="00536B8D">
        <w:t xml:space="preserve">The Paper </w:t>
      </w:r>
      <w:r w:rsidR="00DD4D7A" w:rsidRPr="00536B8D">
        <w:t xml:space="preserve">largely fails to </w:t>
      </w:r>
      <w:r w:rsidR="00840B53" w:rsidRPr="00536B8D">
        <w:t xml:space="preserve">acknowledge the role of </w:t>
      </w:r>
      <w:r w:rsidR="00F860B8" w:rsidRPr="00536B8D">
        <w:t xml:space="preserve">the demand side </w:t>
      </w:r>
      <w:r w:rsidR="00A40BA4" w:rsidRPr="00536B8D">
        <w:t xml:space="preserve">(i.e. on sector for new technology application), </w:t>
      </w:r>
      <w:r w:rsidR="00F860B8" w:rsidRPr="00536B8D">
        <w:t xml:space="preserve">particularly for </w:t>
      </w:r>
      <w:r w:rsidR="00DD4D7A" w:rsidRPr="00536B8D">
        <w:t xml:space="preserve"> higher level and enabling technologies (such as robotics and artificial intelligence) that cut across sectors (and places). In this regard, the UK’s industrial strategy needs to be more ambitious in setting out a roadmap for how </w:t>
      </w:r>
      <w:r w:rsidR="003A15A3" w:rsidRPr="00536B8D">
        <w:t>existing and</w:t>
      </w:r>
      <w:r w:rsidR="00FF1D37" w:rsidRPr="00536B8D">
        <w:t xml:space="preserve"> emerging </w:t>
      </w:r>
      <w:r w:rsidR="00DD4D7A" w:rsidRPr="00536B8D">
        <w:t>sectors (and places) can be transformed by these enabling technologies over the next ten to twenty years</w:t>
      </w:r>
      <w:proofErr w:type="gramStart"/>
      <w:r w:rsidR="00DD4D7A" w:rsidRPr="00536B8D">
        <w:t xml:space="preserve">.  </w:t>
      </w:r>
      <w:proofErr w:type="gramEnd"/>
      <w:r w:rsidR="00DD4D7A" w:rsidRPr="00536B8D">
        <w:t xml:space="preserve">Overall, the injection of technologies into existing sectors is vague, let alone offering any indication of possible new sectors that a </w:t>
      </w:r>
      <w:r w:rsidR="00DD4D7A" w:rsidRPr="00536B8D">
        <w:rPr>
          <w:i/>
        </w:rPr>
        <w:t>‘</w:t>
      </w:r>
      <w:proofErr w:type="spellStart"/>
      <w:r w:rsidR="00DD4D7A" w:rsidRPr="00536B8D">
        <w:rPr>
          <w:i/>
        </w:rPr>
        <w:t>UK203</w:t>
      </w:r>
      <w:r w:rsidR="0029017F" w:rsidRPr="00536B8D">
        <w:rPr>
          <w:i/>
        </w:rPr>
        <w:t>5</w:t>
      </w:r>
      <w:proofErr w:type="spellEnd"/>
      <w:r w:rsidR="00DD4D7A" w:rsidRPr="00536B8D">
        <w:rPr>
          <w:i/>
        </w:rPr>
        <w:t>’</w:t>
      </w:r>
      <w:r w:rsidR="00DD4D7A" w:rsidRPr="00536B8D">
        <w:t xml:space="preserve"> agenda might encompass. </w:t>
      </w:r>
    </w:p>
    <w:p w14:paraId="16358BAD" w14:textId="1C3DC992" w:rsidR="00193B28" w:rsidRDefault="00DD4D7A" w:rsidP="003A15A3">
      <w:pPr>
        <w:jc w:val="both"/>
      </w:pPr>
      <w:r w:rsidRPr="00536B8D">
        <w:t xml:space="preserve">There also needs to be a greater appreciation of the spatial and systemic aspects of R&amp;D. The </w:t>
      </w:r>
      <w:r w:rsidR="003D0B2A" w:rsidRPr="00536B8D">
        <w:t>mission-driven f</w:t>
      </w:r>
      <w:r w:rsidR="0029017F" w:rsidRPr="00536B8D">
        <w:t xml:space="preserve">ocus on </w:t>
      </w:r>
      <w:r w:rsidRPr="00536B8D">
        <w:t xml:space="preserve">R&amp;D has no spatial dimension and it does not link technologies with sectors. Best practice from Sweden, Finland and Germany which use triple helix and regional innovation models for instance can be insightful. </w:t>
      </w:r>
    </w:p>
    <w:p w14:paraId="761685B8" w14:textId="77777777" w:rsidR="00853534" w:rsidRPr="00536B8D" w:rsidRDefault="00853534" w:rsidP="003A15A3">
      <w:pPr>
        <w:jc w:val="both"/>
      </w:pPr>
    </w:p>
    <w:p w14:paraId="7FB45DBF" w14:textId="23C4B0E1" w:rsidR="00903C95" w:rsidRPr="00240327" w:rsidRDefault="0072766E" w:rsidP="00240327">
      <w:pPr>
        <w:pStyle w:val="ListParagraph"/>
        <w:numPr>
          <w:ilvl w:val="0"/>
          <w:numId w:val="8"/>
        </w:numPr>
        <w:rPr>
          <w:i/>
          <w:iCs/>
        </w:rPr>
      </w:pPr>
      <w:r w:rsidRPr="00240327">
        <w:rPr>
          <w:i/>
          <w:iCs/>
        </w:rPr>
        <w:t>What are the UK’s strengths and capabilities in these sub sectors?</w:t>
      </w:r>
    </w:p>
    <w:p w14:paraId="4C7BBD52" w14:textId="0E8BC01C" w:rsidR="009F1A8F" w:rsidRPr="00536B8D" w:rsidRDefault="003A15A3" w:rsidP="003A15A3">
      <w:pPr>
        <w:jc w:val="both"/>
      </w:pPr>
      <w:r w:rsidRPr="003A15A3">
        <w:rPr>
          <w:b/>
          <w:bCs/>
          <w:i/>
          <w:iCs/>
        </w:rPr>
        <w:t>Response:</w:t>
      </w:r>
      <w:r>
        <w:t xml:space="preserve">  </w:t>
      </w:r>
      <w:r w:rsidR="009F1A8F" w:rsidRPr="00536B8D">
        <w:t>Strengths: already very efficient; very high tech and globally competitive; built skilled workforce; integrated in global value chains; connected with UK research infrastructure (Universities and e.g. Catapults)</w:t>
      </w:r>
      <w:r w:rsidR="003D0B2A" w:rsidRPr="00536B8D">
        <w:t>. The UK is also well-positioned in value-added parts of the value chain – these are often classified as ‘services’ in nature even if they may be part of manufacturing value-chains.</w:t>
      </w:r>
    </w:p>
    <w:p w14:paraId="6C1505E4" w14:textId="54B7D736" w:rsidR="009F1A8F" w:rsidRPr="00536B8D" w:rsidRDefault="009F1A8F" w:rsidP="003A15A3">
      <w:pPr>
        <w:jc w:val="both"/>
      </w:pPr>
      <w:r w:rsidRPr="00536B8D">
        <w:t>Weakness: Brexit and barriers to intra-industry trade (along the value chain);  this leads to private underinvestment [business leaders are unsure on the Labour Government’s vision on the pillars of the green and digital transitions, namely, energy, skills, quality of basic research]; lack of aspiration by the Labour Government to activate demand-side and procurement policy to create demand in new markets</w:t>
      </w:r>
      <w:r w:rsidR="00BA1C70" w:rsidRPr="00536B8D">
        <w:t xml:space="preserve"> (regulate the construction sector to add solar panel and energy efficiency planning to all new built homes to ensure energy security and lower energy costs)</w:t>
      </w:r>
      <w:r w:rsidRPr="00536B8D">
        <w:t xml:space="preserve">; </w:t>
      </w:r>
      <w:r w:rsidR="000604DD" w:rsidRPr="00536B8D">
        <w:t xml:space="preserve">lack of regional level policy making, </w:t>
      </w:r>
      <w:r w:rsidR="003D0B2A" w:rsidRPr="00536B8D">
        <w:t xml:space="preserve">regional level bodies (like the </w:t>
      </w:r>
      <w:r w:rsidR="000604DD" w:rsidRPr="00536B8D">
        <w:t>RDAs</w:t>
      </w:r>
      <w:r w:rsidR="003D0B2A" w:rsidRPr="00536B8D">
        <w:t>)</w:t>
      </w:r>
      <w:r w:rsidR="000604DD" w:rsidRPr="00536B8D">
        <w:t xml:space="preserve"> need to be set up again to design and shape</w:t>
      </w:r>
      <w:r w:rsidR="00F718C7" w:rsidRPr="00536B8D">
        <w:t xml:space="preserve"> effective cluster and regional innovation policies</w:t>
      </w:r>
      <w:r w:rsidR="003D0B2A" w:rsidRPr="00536B8D">
        <w:t>, alongside regionally based cross-cutting initiatives like Made Smarter</w:t>
      </w:r>
      <w:r w:rsidR="00F718C7" w:rsidRPr="00536B8D">
        <w:t>.</w:t>
      </w:r>
    </w:p>
    <w:p w14:paraId="4AAF3DE9" w14:textId="77777777" w:rsidR="00F718C7" w:rsidRDefault="00F718C7" w:rsidP="007A3782"/>
    <w:p w14:paraId="7533D0D8" w14:textId="77777777" w:rsidR="00903C95" w:rsidRPr="00A90BFF" w:rsidRDefault="0072766E" w:rsidP="00240327">
      <w:pPr>
        <w:numPr>
          <w:ilvl w:val="0"/>
          <w:numId w:val="8"/>
        </w:numPr>
        <w:rPr>
          <w:i/>
          <w:iCs/>
        </w:rPr>
      </w:pPr>
      <w:r w:rsidRPr="00A90BFF">
        <w:rPr>
          <w:i/>
          <w:iCs/>
        </w:rPr>
        <w:t>What are the key enablers and barriers to growth in these sub sectors and how could the UK government address them</w:t>
      </w:r>
      <w:proofErr w:type="gramStart"/>
      <w:r w:rsidRPr="00A90BFF">
        <w:rPr>
          <w:i/>
          <w:iCs/>
        </w:rPr>
        <w:t>?  </w:t>
      </w:r>
      <w:proofErr w:type="gramEnd"/>
      <w:r w:rsidRPr="00A90BFF">
        <w:rPr>
          <w:i/>
          <w:iCs/>
        </w:rPr>
        <w:t xml:space="preserve"> </w:t>
      </w:r>
    </w:p>
    <w:p w14:paraId="6F0ABC12" w14:textId="6E911BD5" w:rsidR="00103239" w:rsidRPr="003A15A3" w:rsidRDefault="003A15A3" w:rsidP="003A15A3">
      <w:pPr>
        <w:jc w:val="both"/>
      </w:pPr>
      <w:r w:rsidRPr="003A15A3">
        <w:rPr>
          <w:b/>
          <w:bCs/>
          <w:i/>
          <w:iCs/>
        </w:rPr>
        <w:t>Response:</w:t>
      </w:r>
      <w:r>
        <w:t xml:space="preserve"> </w:t>
      </w:r>
      <w:r w:rsidR="0072766E" w:rsidRPr="00536B8D">
        <w:t xml:space="preserve">Despite notable and longstanding strengths in these areas, Brexit has clearly had a deleterious impact on parts of both the automotive </w:t>
      </w:r>
      <w:bookmarkStart w:id="3" w:name="ZOTERO_BREF_KPqLENRCPnqH"/>
      <w:r w:rsidR="0072766E" w:rsidRPr="00536B8D">
        <w:t>(Bailey et al., 2022)</w:t>
      </w:r>
      <w:bookmarkEnd w:id="3"/>
      <w:r w:rsidR="0072766E" w:rsidRPr="00536B8D">
        <w:t xml:space="preserve"> and pharmaceutical sectors </w:t>
      </w:r>
      <w:bookmarkStart w:id="4" w:name="ZOTERO_BREF_CoTkDZJbKzVD"/>
      <w:r w:rsidR="0072766E" w:rsidRPr="00536B8D">
        <w:t>(Roscoe et al., 2020)</w:t>
      </w:r>
      <w:bookmarkEnd w:id="4"/>
      <w:r w:rsidR="0072766E" w:rsidRPr="00536B8D">
        <w:t xml:space="preserve"> particularly for smaller firms and suppliers.</w:t>
      </w:r>
      <w:r w:rsidR="003D0B2A" w:rsidRPr="00536B8D">
        <w:t xml:space="preserve"> In the case of transport-related industries like automotive, this has impacted especially on smaller firms (Bailey et al, 2023).</w:t>
      </w:r>
    </w:p>
    <w:p w14:paraId="128E85E6" w14:textId="77777777" w:rsidR="00853534" w:rsidRDefault="00853534" w:rsidP="007A3782">
      <w:pPr>
        <w:rPr>
          <w:b/>
          <w:bCs/>
        </w:rPr>
      </w:pPr>
    </w:p>
    <w:p w14:paraId="2ACBC5B7" w14:textId="5914EB2A" w:rsidR="00903C95" w:rsidRPr="00536B8D" w:rsidRDefault="0072766E" w:rsidP="007A3782">
      <w:pPr>
        <w:rPr>
          <w:b/>
          <w:bCs/>
        </w:rPr>
      </w:pPr>
      <w:r w:rsidRPr="00536B8D">
        <w:rPr>
          <w:b/>
          <w:bCs/>
        </w:rPr>
        <w:t>Business Environment</w:t>
      </w:r>
    </w:p>
    <w:p w14:paraId="666CCF73" w14:textId="5608FA35" w:rsidR="00903C95" w:rsidRPr="00A90BFF" w:rsidRDefault="0072766E" w:rsidP="00240327">
      <w:pPr>
        <w:numPr>
          <w:ilvl w:val="0"/>
          <w:numId w:val="8"/>
        </w:numPr>
        <w:rPr>
          <w:i/>
          <w:iCs/>
        </w:rPr>
      </w:pPr>
      <w:r w:rsidRPr="00A90BFF">
        <w:rPr>
          <w:i/>
          <w:iCs/>
        </w:rPr>
        <w:t>What are the most significant barriers to investment? Do they vary across the growth-driving sectors? What evidence can you share to illustrate this?</w:t>
      </w:r>
      <w:r w:rsidR="00115C83" w:rsidRPr="00A90BFF">
        <w:rPr>
          <w:i/>
          <w:iCs/>
        </w:rPr>
        <w:t xml:space="preserve"> </w:t>
      </w:r>
    </w:p>
    <w:p w14:paraId="3EBFAC77" w14:textId="4FE5A347" w:rsidR="00115C83" w:rsidRPr="00536B8D" w:rsidRDefault="003A15A3" w:rsidP="003A15A3">
      <w:pPr>
        <w:jc w:val="both"/>
      </w:pPr>
      <w:r w:rsidRPr="003A15A3">
        <w:rPr>
          <w:b/>
          <w:bCs/>
          <w:i/>
          <w:iCs/>
        </w:rPr>
        <w:t>Response:</w:t>
      </w:r>
      <w:r>
        <w:t xml:space="preserve"> </w:t>
      </w:r>
      <w:r w:rsidR="00115C83" w:rsidRPr="00536B8D">
        <w:t xml:space="preserve">Brexit and the end of frictionless trade with the EU, our largest trading bloc, continue to be a slow drag on </w:t>
      </w:r>
      <w:r w:rsidR="00EC30DD" w:rsidRPr="00536B8D">
        <w:t>trade and inward investment</w:t>
      </w:r>
      <w:proofErr w:type="gramStart"/>
      <w:r w:rsidR="00EC30DD" w:rsidRPr="00536B8D">
        <w:t xml:space="preserve">. </w:t>
      </w:r>
      <w:r w:rsidR="00C73D3F" w:rsidRPr="00536B8D">
        <w:t xml:space="preserve"> </w:t>
      </w:r>
      <w:proofErr w:type="gramEnd"/>
      <w:r w:rsidR="00E96B49" w:rsidRPr="00536B8D">
        <w:t>Both quantitative and qualitative studies confirm this. Du et al. (2023), for instance, find Brexit has had a large and continuing negative impact on UK goods exports, especially for smaller firms</w:t>
      </w:r>
      <w:proofErr w:type="gramStart"/>
      <w:r w:rsidR="00E96B49" w:rsidRPr="00536B8D">
        <w:t xml:space="preserve">.  </w:t>
      </w:r>
      <w:proofErr w:type="gramEnd"/>
      <w:r w:rsidR="00E96B49" w:rsidRPr="00536B8D">
        <w:t>Bailey et al. (2023)’s qualitative data find that the “</w:t>
      </w:r>
      <w:r w:rsidR="00E96B49" w:rsidRPr="00536B8D">
        <w:rPr>
          <w:i/>
          <w:iCs/>
        </w:rPr>
        <w:t>imposition of new non-tariff barriers through Brexit has proved particularly challenging to smaller firms in manufacturing supply chains”</w:t>
      </w:r>
      <w:r w:rsidR="00E96B49" w:rsidRPr="00536B8D">
        <w:t xml:space="preserve">. </w:t>
      </w:r>
      <w:r w:rsidR="00E732AD" w:rsidRPr="00536B8D">
        <w:t xml:space="preserve">These trade barriers deter inward investment, as multinational firms are more cautious to invest – the UK is no longer a gateway into the European Single Market. </w:t>
      </w:r>
    </w:p>
    <w:p w14:paraId="1BAC5A1B" w14:textId="2A6466B1" w:rsidR="00115C83" w:rsidRPr="00536B8D" w:rsidRDefault="008D6B04" w:rsidP="003A15A3">
      <w:pPr>
        <w:jc w:val="both"/>
      </w:pPr>
      <w:r w:rsidRPr="00536B8D">
        <w:t xml:space="preserve">The </w:t>
      </w:r>
      <w:r w:rsidR="00D8191B" w:rsidRPr="00536B8D">
        <w:t xml:space="preserve">UK has long </w:t>
      </w:r>
      <w:r w:rsidR="00F36407" w:rsidRPr="00536B8D">
        <w:t>had a</w:t>
      </w:r>
      <w:r w:rsidR="00F52B80" w:rsidRPr="00536B8D">
        <w:t xml:space="preserve"> </w:t>
      </w:r>
      <w:r w:rsidR="00F36407" w:rsidRPr="00536B8D">
        <w:t xml:space="preserve">poor investment </w:t>
      </w:r>
      <w:r w:rsidR="00F52B80" w:rsidRPr="00536B8D">
        <w:t>record – since the mid-</w:t>
      </w:r>
      <w:proofErr w:type="spellStart"/>
      <w:r w:rsidR="00F52B80" w:rsidRPr="00536B8D">
        <w:t>1990s</w:t>
      </w:r>
      <w:proofErr w:type="spellEnd"/>
      <w:r w:rsidR="00F52B80" w:rsidRPr="00536B8D">
        <w:t xml:space="preserve"> the UK has trailed the </w:t>
      </w:r>
      <w:proofErr w:type="spellStart"/>
      <w:r w:rsidR="00F52B80" w:rsidRPr="00536B8D">
        <w:t>G7</w:t>
      </w:r>
      <w:proofErr w:type="spellEnd"/>
      <w:r w:rsidR="00F52B80" w:rsidRPr="00536B8D">
        <w:t xml:space="preserve"> and now ranks 28th of 31 OECD countries, according to the Institute for Public Policy Research (IPPR). Since 1990, the UK’s investment gap with the OECD average is estimated to be around £35 billion a year</w:t>
      </w:r>
      <w:r w:rsidR="00D75759" w:rsidRPr="00536B8D">
        <w:t xml:space="preserve"> (IPPR, 2024). </w:t>
      </w:r>
      <w:r w:rsidR="001C7137" w:rsidRPr="00536B8D">
        <w:t xml:space="preserve">Since 2016, the UK’s investment has been especially weak – it is estimated that because of Brexit, </w:t>
      </w:r>
      <w:r w:rsidRPr="00536B8D">
        <w:t xml:space="preserve">investment </w:t>
      </w:r>
      <w:r w:rsidR="001C7137" w:rsidRPr="00536B8D">
        <w:t xml:space="preserve">is around </w:t>
      </w:r>
      <w:r w:rsidRPr="00536B8D">
        <w:t xml:space="preserve">10% lower than it would otherwise have been (Portes, 2023). </w:t>
      </w:r>
    </w:p>
    <w:p w14:paraId="52CDAC3B" w14:textId="1D306312" w:rsidR="001C7137" w:rsidRPr="00536B8D" w:rsidRDefault="001C7137" w:rsidP="003A15A3">
      <w:pPr>
        <w:jc w:val="both"/>
      </w:pPr>
      <w:r w:rsidRPr="00536B8D">
        <w:t>Removing</w:t>
      </w:r>
      <w:r w:rsidR="007A7151" w:rsidRPr="00536B8D">
        <w:t xml:space="preserve">/mitigating </w:t>
      </w:r>
      <w:r w:rsidRPr="00536B8D">
        <w:t xml:space="preserve">the </w:t>
      </w:r>
      <w:r w:rsidR="007A7151" w:rsidRPr="00536B8D">
        <w:t xml:space="preserve">(non-tariff) </w:t>
      </w:r>
      <w:r w:rsidRPr="00536B8D">
        <w:t xml:space="preserve">barriers to </w:t>
      </w:r>
      <w:r w:rsidR="007A7151" w:rsidRPr="00536B8D">
        <w:t>trade with the EU needs to be a priority. This is easier said than done</w:t>
      </w:r>
      <w:r w:rsidR="00801B69" w:rsidRPr="00536B8D">
        <w:t xml:space="preserve">, but a commitment to </w:t>
      </w:r>
      <w:r w:rsidR="00BD2DF7" w:rsidRPr="00536B8D">
        <w:t xml:space="preserve">dynamic alignment of regulatory standards </w:t>
      </w:r>
      <w:r w:rsidR="000765C2" w:rsidRPr="00536B8D">
        <w:t xml:space="preserve">with the EU </w:t>
      </w:r>
      <w:r w:rsidR="00BD2DF7" w:rsidRPr="00536B8D">
        <w:t xml:space="preserve">would be </w:t>
      </w:r>
      <w:r w:rsidR="00F77FDB">
        <w:t xml:space="preserve">a </w:t>
      </w:r>
      <w:r w:rsidR="00BD2DF7" w:rsidRPr="00536B8D">
        <w:t>way forward</w:t>
      </w:r>
      <w:proofErr w:type="gramStart"/>
      <w:r w:rsidR="00BD2DF7" w:rsidRPr="00536B8D">
        <w:t xml:space="preserve">.  </w:t>
      </w:r>
      <w:proofErr w:type="gramEnd"/>
    </w:p>
    <w:p w14:paraId="188F6888" w14:textId="34971FB0" w:rsidR="00521C60" w:rsidRPr="00536B8D" w:rsidRDefault="00521C60" w:rsidP="003A15A3">
      <w:pPr>
        <w:jc w:val="both"/>
      </w:pPr>
      <w:r w:rsidRPr="00536B8D">
        <w:t xml:space="preserve">Any new strategy needs to link supply chains and clusters. The Green Paper mentions supply chains and clusters a several times but treats them as if </w:t>
      </w:r>
      <w:r w:rsidR="00CC59DA" w:rsidRPr="00536B8D">
        <w:t>they are</w:t>
      </w:r>
      <w:r w:rsidRPr="00536B8D">
        <w:t xml:space="preserve"> separate entities. Rather, clusters comprise local value chains that in most cases are plugged into global value chains through to the bridging role of multinational firms (large, medium or small sized). Understanding the link between clusters and supply chains for regional growth enables a new industrial policy to address issues related to rebuilding supply chains in manufacturing sectors (this links to the rebalancing agenda) via new </w:t>
      </w:r>
      <w:r w:rsidR="00CC59DA" w:rsidRPr="00536B8D">
        <w:t>firms’</w:t>
      </w:r>
      <w:r w:rsidRPr="00536B8D">
        <w:t xml:space="preserve"> formation that </w:t>
      </w:r>
      <w:r w:rsidRPr="00536B8D">
        <w:lastRenderedPageBreak/>
        <w:t>would enable the OEMs (assemblers) to onshore (outsource from suppliers more locally), reshore or nearshore (change suppliers from overseas to UK or locally).</w:t>
      </w:r>
      <w:r w:rsidRPr="00536B8D">
        <w:rPr>
          <w:vertAlign w:val="superscript"/>
        </w:rPr>
        <w:footnoteReference w:id="2"/>
      </w:r>
    </w:p>
    <w:p w14:paraId="39ECAFC1" w14:textId="1CD34ECF" w:rsidR="00C33E77" w:rsidRPr="00536B8D" w:rsidRDefault="00521C60" w:rsidP="00A90BFF">
      <w:pPr>
        <w:jc w:val="both"/>
      </w:pPr>
      <w:r w:rsidRPr="00536B8D">
        <w:t xml:space="preserve">In line with our earlier comments, </w:t>
      </w:r>
      <w:r w:rsidR="000B6F4B" w:rsidRPr="00536B8D">
        <w:t>t</w:t>
      </w:r>
      <w:r w:rsidRPr="00536B8D">
        <w:t>here is the need to build a meso-level regional tier of governance to address these factors</w:t>
      </w:r>
      <w:r w:rsidR="00040A05">
        <w:t>, working with Catapults and central government.</w:t>
      </w:r>
      <w:r w:rsidRPr="00536B8D">
        <w:t xml:space="preserve"> </w:t>
      </w:r>
    </w:p>
    <w:p w14:paraId="0181A6E2" w14:textId="77777777" w:rsidR="00853534" w:rsidRDefault="00853534" w:rsidP="007A3782">
      <w:pPr>
        <w:rPr>
          <w:b/>
          <w:bCs/>
        </w:rPr>
      </w:pPr>
    </w:p>
    <w:p w14:paraId="775F6409" w14:textId="00B381A7" w:rsidR="00903C95" w:rsidRPr="00536B8D" w:rsidRDefault="0072766E" w:rsidP="007A3782">
      <w:pPr>
        <w:rPr>
          <w:b/>
          <w:bCs/>
        </w:rPr>
      </w:pPr>
      <w:r w:rsidRPr="00536B8D">
        <w:rPr>
          <w:b/>
          <w:bCs/>
        </w:rPr>
        <w:t>Business Environment – People and Skills</w:t>
      </w:r>
    </w:p>
    <w:p w14:paraId="218DB7BD" w14:textId="77777777" w:rsidR="00903C95" w:rsidRPr="00A90BFF" w:rsidRDefault="0072766E" w:rsidP="00240327">
      <w:pPr>
        <w:numPr>
          <w:ilvl w:val="0"/>
          <w:numId w:val="8"/>
        </w:numPr>
        <w:rPr>
          <w:i/>
          <w:iCs/>
        </w:rPr>
      </w:pPr>
      <w:r w:rsidRPr="00A90BFF">
        <w:rPr>
          <w:i/>
          <w:iCs/>
        </w:rPr>
        <w:t xml:space="preserve">Where you identified barriers in response to Question 7 which relate to people and skills (including issues such as delivery of employment support, careers, and skills provision), what UK government policy solutions could best address these? </w:t>
      </w:r>
    </w:p>
    <w:p w14:paraId="7A82617D" w14:textId="61790F83" w:rsidR="00C33E77" w:rsidRPr="00536B8D" w:rsidRDefault="00A90BFF" w:rsidP="00A90BFF">
      <w:pPr>
        <w:jc w:val="both"/>
      </w:pPr>
      <w:r w:rsidRPr="003A15A3">
        <w:rPr>
          <w:b/>
          <w:bCs/>
          <w:i/>
          <w:iCs/>
        </w:rPr>
        <w:t>Response:</w:t>
      </w:r>
      <w:r>
        <w:t xml:space="preserve"> </w:t>
      </w:r>
      <w:r w:rsidR="00C33E77" w:rsidRPr="00536B8D">
        <w:t xml:space="preserve">Skills are critical enablers for growth. Yet, the UK educational systems are still primarily centrally designed and controlled, and this includes further and technical education which is still dominated by national accreditation systems. </w:t>
      </w:r>
      <w:r w:rsidR="00BA1C70" w:rsidRPr="00536B8D">
        <w:t xml:space="preserve">A clearer vision and commitment must be shown by the Labour Government to match </w:t>
      </w:r>
      <w:r w:rsidR="00C33E77" w:rsidRPr="00536B8D">
        <w:t>local employers</w:t>
      </w:r>
      <w:r w:rsidR="00BA1C70" w:rsidRPr="00536B8D">
        <w:t>’ ambition to access the relevant skills</w:t>
      </w:r>
      <w:proofErr w:type="gramStart"/>
      <w:r w:rsidR="00BA1C70" w:rsidRPr="00536B8D">
        <w:t xml:space="preserve">.  </w:t>
      </w:r>
      <w:proofErr w:type="gramEnd"/>
      <w:r w:rsidR="00BA1C70" w:rsidRPr="00536B8D">
        <w:t>The Government need</w:t>
      </w:r>
      <w:r w:rsidR="00C33E77" w:rsidRPr="00536B8D">
        <w:t xml:space="preserve"> to</w:t>
      </w:r>
      <w:r w:rsidR="00BA1C70" w:rsidRPr="00536B8D">
        <w:t xml:space="preserve"> support and finance the development of </w:t>
      </w:r>
      <w:r w:rsidR="00C33E77" w:rsidRPr="00536B8D">
        <w:t xml:space="preserve">curricula and training </w:t>
      </w:r>
      <w:r w:rsidR="00BA1C70" w:rsidRPr="00536B8D">
        <w:t xml:space="preserve">programmes </w:t>
      </w:r>
      <w:r w:rsidR="00C33E77" w:rsidRPr="00536B8D">
        <w:t xml:space="preserve">which </w:t>
      </w:r>
      <w:r w:rsidR="00BA1C70" w:rsidRPr="00536B8D">
        <w:t xml:space="preserve">are </w:t>
      </w:r>
      <w:r w:rsidR="00C33E77" w:rsidRPr="00536B8D">
        <w:t xml:space="preserve">tailored to local demands as most FE students remain very local. Germany offers </w:t>
      </w:r>
      <w:r w:rsidR="00E4023D" w:rsidRPr="00536B8D">
        <w:t xml:space="preserve">the best </w:t>
      </w:r>
      <w:r w:rsidR="00C33E77" w:rsidRPr="00536B8D">
        <w:t xml:space="preserve">template, whereby local educational institutions, firms and chambers of commerce all cooperate with </w:t>
      </w:r>
      <w:proofErr w:type="spellStart"/>
      <w:r w:rsidR="00C33E77" w:rsidRPr="00536B8D">
        <w:rPr>
          <w:i/>
        </w:rPr>
        <w:t>länder</w:t>
      </w:r>
      <w:proofErr w:type="spellEnd"/>
      <w:r w:rsidR="00C33E77" w:rsidRPr="00536B8D">
        <w:t xml:space="preserve"> governments to provide education-employment channels. </w:t>
      </w:r>
      <w:r w:rsidR="00BA1C70" w:rsidRPr="00536B8D">
        <w:t xml:space="preserve">See also the example of the </w:t>
      </w:r>
      <w:proofErr w:type="spellStart"/>
      <w:r w:rsidR="00BA1C70" w:rsidRPr="00536B8D">
        <w:t>Motorvehicle</w:t>
      </w:r>
      <w:proofErr w:type="spellEnd"/>
      <w:r w:rsidR="00BA1C70" w:rsidRPr="00536B8D">
        <w:t xml:space="preserve"> University in Emilia Romagna (</w:t>
      </w:r>
      <w:hyperlink r:id="rId12" w:history="1">
        <w:r w:rsidR="00BA1C70" w:rsidRPr="00536B8D">
          <w:rPr>
            <w:rStyle w:val="Hyperlink"/>
            <w:color w:val="auto"/>
          </w:rPr>
          <w:t xml:space="preserve">Home - </w:t>
        </w:r>
        <w:proofErr w:type="spellStart"/>
        <w:r w:rsidR="00BA1C70" w:rsidRPr="00536B8D">
          <w:rPr>
            <w:rStyle w:val="Hyperlink"/>
            <w:color w:val="auto"/>
          </w:rPr>
          <w:t>Muner</w:t>
        </w:r>
        <w:proofErr w:type="spellEnd"/>
      </w:hyperlink>
      <w:r w:rsidR="00BA1C70" w:rsidRPr="00536B8D">
        <w:t>), set up as a partnership public-private to feed the right skills into one of the cornerstone</w:t>
      </w:r>
      <w:r w:rsidR="00F77FDB">
        <w:t>s</w:t>
      </w:r>
      <w:r w:rsidR="00BA1C70" w:rsidRPr="00536B8D">
        <w:t xml:space="preserve"> of the regional economy. </w:t>
      </w:r>
      <w:r w:rsidR="00C33E77" w:rsidRPr="00536B8D">
        <w:t xml:space="preserve">Similarly, universities need to be given major </w:t>
      </w:r>
      <w:r w:rsidR="00F60575" w:rsidRPr="00536B8D">
        <w:t xml:space="preserve">and explicit </w:t>
      </w:r>
      <w:r w:rsidR="00C33E77" w:rsidRPr="00536B8D">
        <w:t>incentives to engage with local actors</w:t>
      </w:r>
      <w:r w:rsidR="00F93509" w:rsidRPr="00536B8D">
        <w:t xml:space="preserve"> beyond</w:t>
      </w:r>
      <w:r w:rsidR="00635B36" w:rsidRPr="00536B8D">
        <w:t xml:space="preserve"> individual Civic University Agreements</w:t>
      </w:r>
      <w:r w:rsidR="00C33E77" w:rsidRPr="00536B8D">
        <w:t>. At present, the higher education research and teaching evaluation frameworks offer no such incentives, based as they are on national criteria. In the UK context responsibility for both identifying skills needs and delivery needs to be devolved to a meso-level governance level.</w:t>
      </w:r>
    </w:p>
    <w:p w14:paraId="3F88E27A" w14:textId="52290236" w:rsidR="00C33E77" w:rsidRPr="00536B8D" w:rsidRDefault="00E4023D" w:rsidP="00A90BFF">
      <w:pPr>
        <w:jc w:val="both"/>
        <w:rPr>
          <w:rFonts w:eastAsia="Times New Roman" w:cs="Arial"/>
        </w:rPr>
      </w:pPr>
      <w:r w:rsidRPr="00536B8D">
        <w:rPr>
          <w:rFonts w:eastAsia="Times New Roman" w:cs="Arial"/>
        </w:rPr>
        <w:t>More widely, t</w:t>
      </w:r>
      <w:r w:rsidR="00C33E77" w:rsidRPr="00536B8D">
        <w:rPr>
          <w:rFonts w:eastAsia="Times New Roman" w:cs="Arial"/>
        </w:rPr>
        <w:t xml:space="preserve">he Green Paper’s focus on technology and high-skilled sectors </w:t>
      </w:r>
      <w:r w:rsidR="00C409CE" w:rsidRPr="00536B8D">
        <w:rPr>
          <w:rFonts w:eastAsia="Times New Roman" w:cs="Arial"/>
        </w:rPr>
        <w:t>will</w:t>
      </w:r>
      <w:r w:rsidR="009B1DCE" w:rsidRPr="00536B8D">
        <w:rPr>
          <w:rFonts w:eastAsia="Times New Roman" w:cs="Arial"/>
        </w:rPr>
        <w:t xml:space="preserve"> </w:t>
      </w:r>
      <w:r w:rsidR="00C33E77" w:rsidRPr="00536B8D">
        <w:rPr>
          <w:rFonts w:eastAsia="Times New Roman" w:cs="Arial"/>
        </w:rPr>
        <w:t xml:space="preserve"> leave behind certain industries</w:t>
      </w:r>
      <w:r w:rsidR="009B1DCE" w:rsidRPr="00536B8D">
        <w:rPr>
          <w:rFonts w:eastAsia="Times New Roman" w:cs="Arial"/>
        </w:rPr>
        <w:t>,</w:t>
      </w:r>
      <w:r w:rsidR="00C33E77" w:rsidRPr="00536B8D">
        <w:rPr>
          <w:rFonts w:eastAsia="Times New Roman" w:cs="Arial"/>
        </w:rPr>
        <w:t xml:space="preserve"> workers</w:t>
      </w:r>
      <w:r w:rsidR="009B1DCE" w:rsidRPr="00536B8D">
        <w:rPr>
          <w:rFonts w:eastAsia="Times New Roman" w:cs="Arial"/>
        </w:rPr>
        <w:t xml:space="preserve"> and places</w:t>
      </w:r>
      <w:r w:rsidR="00C33E77" w:rsidRPr="00536B8D">
        <w:rPr>
          <w:rFonts w:eastAsia="Times New Roman" w:cs="Arial"/>
        </w:rPr>
        <w:t xml:space="preserve">. The strategy’s vision for a high-tech, innovation-driven economy is commendable, but there is a risk that this selective approach </w:t>
      </w:r>
      <w:r w:rsidR="00A83351" w:rsidRPr="00536B8D">
        <w:rPr>
          <w:rFonts w:eastAsia="Times New Roman" w:cs="Arial"/>
        </w:rPr>
        <w:t xml:space="preserve">focussed only on </w:t>
      </w:r>
      <w:r w:rsidR="00061ACA" w:rsidRPr="00536B8D">
        <w:rPr>
          <w:rFonts w:eastAsia="Times New Roman" w:cs="Arial"/>
        </w:rPr>
        <w:t xml:space="preserve">supporting sectors of existing/potential strength </w:t>
      </w:r>
      <w:r w:rsidR="00C33E77" w:rsidRPr="00536B8D">
        <w:rPr>
          <w:rFonts w:eastAsia="Times New Roman" w:cs="Arial"/>
        </w:rPr>
        <w:t>is at odds with the goal of tackling regional inequalities and could in fact widen the divide between high-skilled and low-skilled workers and between successful and left-behind places</w:t>
      </w:r>
      <w:proofErr w:type="gramStart"/>
      <w:r w:rsidR="00C33E77" w:rsidRPr="00536B8D">
        <w:rPr>
          <w:rFonts w:eastAsia="Times New Roman" w:cs="Arial"/>
        </w:rPr>
        <w:t>.  </w:t>
      </w:r>
      <w:proofErr w:type="gramEnd"/>
    </w:p>
    <w:p w14:paraId="01652E60" w14:textId="57D58F04" w:rsidR="00C33E77" w:rsidRPr="00536B8D" w:rsidRDefault="00C33E77" w:rsidP="00A90BFF">
      <w:pPr>
        <w:jc w:val="both"/>
        <w:rPr>
          <w:rFonts w:eastAsia="Times New Roman" w:cs="Times New Roman"/>
        </w:rPr>
      </w:pPr>
      <w:r w:rsidRPr="00536B8D">
        <w:rPr>
          <w:rFonts w:eastAsia="Times New Roman" w:cs="Times New Roman"/>
        </w:rPr>
        <w:t>For workers in foundational sectors (such as retail, hospitality, and care), in traditional manufacturing—sectors that are not necessarily innovation-driven—</w:t>
      </w:r>
      <w:r w:rsidR="00B67DF1" w:rsidRPr="00536B8D">
        <w:rPr>
          <w:rFonts w:eastAsia="Times New Roman" w:cs="Times New Roman"/>
        </w:rPr>
        <w:t>, or ones in which jobs are at threat from advances in digitalisation and AI t</w:t>
      </w:r>
      <w:r w:rsidRPr="00536B8D">
        <w:rPr>
          <w:rFonts w:eastAsia="Times New Roman" w:cs="Times New Roman"/>
        </w:rPr>
        <w:t xml:space="preserve">he strategy offers little in terms of support or retraining. Yet without a robust plan for upskilling and re-skilling workers throughout their lives, as we see for example in Singapore through its Skills-Future </w:t>
      </w:r>
      <w:r w:rsidRPr="00536B8D">
        <w:rPr>
          <w:rFonts w:eastAsia="Times New Roman" w:cs="Times New Roman"/>
        </w:rPr>
        <w:lastRenderedPageBreak/>
        <w:t>programme, there could be a growing polarisation between those who benefit from the green and high-tech economies and those who do not.</w:t>
      </w:r>
    </w:p>
    <w:p w14:paraId="6565EA38" w14:textId="77777777" w:rsidR="00BA32DA" w:rsidRDefault="00BA32DA" w:rsidP="00A90BFF">
      <w:pPr>
        <w:jc w:val="both"/>
      </w:pPr>
    </w:p>
    <w:p w14:paraId="54CE9AE9" w14:textId="77777777" w:rsidR="00903C95" w:rsidRPr="00A90BFF" w:rsidRDefault="0072766E" w:rsidP="00240327">
      <w:pPr>
        <w:numPr>
          <w:ilvl w:val="0"/>
          <w:numId w:val="8"/>
        </w:numPr>
        <w:rPr>
          <w:i/>
          <w:iCs/>
        </w:rPr>
      </w:pPr>
      <w:r w:rsidRPr="00A90BFF">
        <w:rPr>
          <w:i/>
          <w:iCs/>
        </w:rPr>
        <w:t xml:space="preserve">What more could be done to achieve a step change in employer investment in training in the growth-driving sectors? </w:t>
      </w:r>
    </w:p>
    <w:p w14:paraId="64BA417C" w14:textId="4A4FA57E" w:rsidR="00F90178" w:rsidRPr="00536B8D" w:rsidRDefault="00A90BFF" w:rsidP="00A90BFF">
      <w:pPr>
        <w:jc w:val="both"/>
      </w:pPr>
      <w:r w:rsidRPr="003A15A3">
        <w:rPr>
          <w:b/>
          <w:bCs/>
          <w:i/>
          <w:iCs/>
        </w:rPr>
        <w:t>Response:</w:t>
      </w:r>
      <w:r>
        <w:t xml:space="preserve"> </w:t>
      </w:r>
      <w:r w:rsidR="00F90178" w:rsidRPr="00536B8D">
        <w:t>In</w:t>
      </w:r>
      <w:r w:rsidR="007A3782">
        <w:t xml:space="preserve"> </w:t>
      </w:r>
      <w:r w:rsidR="00F90178" w:rsidRPr="00536B8D">
        <w:t xml:space="preserve">line with our position </w:t>
      </w:r>
      <w:r w:rsidR="00BF1F16" w:rsidRPr="00536B8D">
        <w:t>above, whilst</w:t>
      </w:r>
      <w:r w:rsidR="00295F4D" w:rsidRPr="00536B8D">
        <w:t xml:space="preserve"> support of the most productive sectors and those with the most potential </w:t>
      </w:r>
      <w:r w:rsidR="00774022" w:rsidRPr="00536B8D">
        <w:t xml:space="preserve">should be the ambition of industrial strategy, </w:t>
      </w:r>
      <w:r w:rsidR="00F90178" w:rsidRPr="00536B8D">
        <w:t xml:space="preserve">we would advocate that </w:t>
      </w:r>
      <w:r w:rsidR="00774022" w:rsidRPr="00536B8D">
        <w:t>industrial strategy should make some provision to ‘lift</w:t>
      </w:r>
      <w:r w:rsidR="00BF1F16" w:rsidRPr="00536B8D">
        <w:t>’ those</w:t>
      </w:r>
      <w:r w:rsidR="00774022" w:rsidRPr="00536B8D">
        <w:t xml:space="preserve"> at the bottom, which may be dragging the UK down, due to </w:t>
      </w:r>
      <w:r w:rsidR="00FE05DF" w:rsidRPr="00536B8D">
        <w:t>their legacies for UK industrialisation</w:t>
      </w:r>
      <w:proofErr w:type="gramStart"/>
      <w:r w:rsidR="00FE05DF" w:rsidRPr="00536B8D">
        <w:t xml:space="preserve">. </w:t>
      </w:r>
      <w:r w:rsidR="00B415E5" w:rsidRPr="00536B8D">
        <w:t xml:space="preserve"> </w:t>
      </w:r>
      <w:proofErr w:type="gramEnd"/>
      <w:r w:rsidR="00B415E5" w:rsidRPr="00536B8D">
        <w:t xml:space="preserve">We see a need </w:t>
      </w:r>
      <w:r w:rsidR="00F90178" w:rsidRPr="00536B8D">
        <w:t xml:space="preserve">not only </w:t>
      </w:r>
      <w:r w:rsidR="00B415E5" w:rsidRPr="00536B8D">
        <w:t>for a</w:t>
      </w:r>
      <w:r w:rsidR="00F90178" w:rsidRPr="00536B8D">
        <w:t xml:space="preserve"> step change in employer investment in training in growth-driving </w:t>
      </w:r>
      <w:r w:rsidR="00BF1F16" w:rsidRPr="00536B8D">
        <w:t>sectors but</w:t>
      </w:r>
      <w:r w:rsidR="00F90178" w:rsidRPr="00536B8D">
        <w:t xml:space="preserve"> </w:t>
      </w:r>
      <w:r w:rsidR="00F77FDB">
        <w:t xml:space="preserve">also for </w:t>
      </w:r>
      <w:r w:rsidR="008D6634" w:rsidRPr="00536B8D">
        <w:t>re</w:t>
      </w:r>
      <w:r w:rsidR="00F90178" w:rsidRPr="00536B8D">
        <w:t xml:space="preserve">training </w:t>
      </w:r>
      <w:r w:rsidR="008D6634" w:rsidRPr="00536B8D">
        <w:t xml:space="preserve">and upskilling </w:t>
      </w:r>
      <w:r w:rsidR="00F90178" w:rsidRPr="00536B8D">
        <w:t xml:space="preserve">in </w:t>
      </w:r>
      <w:r w:rsidR="00BB08D4" w:rsidRPr="00536B8D">
        <w:t>growth-dragging sectors</w:t>
      </w:r>
      <w:proofErr w:type="gramStart"/>
      <w:r w:rsidR="003838F2" w:rsidRPr="00536B8D">
        <w:t xml:space="preserve">. </w:t>
      </w:r>
      <w:r w:rsidR="008D6634" w:rsidRPr="00536B8D">
        <w:t xml:space="preserve"> </w:t>
      </w:r>
      <w:proofErr w:type="gramEnd"/>
      <w:r w:rsidR="008D6634" w:rsidRPr="00536B8D">
        <w:t xml:space="preserve">For sectors </w:t>
      </w:r>
      <w:r w:rsidR="002531C7" w:rsidRPr="00536B8D">
        <w:t>that are not among the currently most productive,</w:t>
      </w:r>
      <w:r w:rsidR="008D6634" w:rsidRPr="00536B8D">
        <w:t xml:space="preserve"> or</w:t>
      </w:r>
      <w:r w:rsidR="002531C7" w:rsidRPr="00536B8D">
        <w:t xml:space="preserve"> recognised as having  the ‘ most potential’</w:t>
      </w:r>
      <w:r w:rsidR="00F77FDB">
        <w:t>,</w:t>
      </w:r>
      <w:r w:rsidR="002531C7" w:rsidRPr="00536B8D">
        <w:t xml:space="preserve"> </w:t>
      </w:r>
      <w:r w:rsidR="007168DC" w:rsidRPr="00536B8D">
        <w:t xml:space="preserve"> </w:t>
      </w:r>
      <w:r w:rsidR="008D6634" w:rsidRPr="00536B8D">
        <w:t xml:space="preserve">their potential may nevertheless be increased by investment </w:t>
      </w:r>
      <w:r w:rsidR="00AF702E" w:rsidRPr="00536B8D">
        <w:t>in training. For sectors whose</w:t>
      </w:r>
      <w:r w:rsidR="00BE2B96" w:rsidRPr="00536B8D">
        <w:t xml:space="preserve"> eventual decline is foreseeable, provision of re-training </w:t>
      </w:r>
      <w:r w:rsidR="00BB08D4" w:rsidRPr="00536B8D">
        <w:t>so that employee</w:t>
      </w:r>
      <w:r w:rsidR="00BD523D" w:rsidRPr="00536B8D">
        <w:t>s</w:t>
      </w:r>
      <w:r w:rsidR="00BB08D4" w:rsidRPr="00536B8D">
        <w:t xml:space="preserve"> can</w:t>
      </w:r>
      <w:r w:rsidR="003A1DA2" w:rsidRPr="00536B8D">
        <w:t xml:space="preserve"> find future employment in sectors of growth</w:t>
      </w:r>
      <w:r w:rsidR="00AF702E" w:rsidRPr="00536B8D">
        <w:t xml:space="preserve"> </w:t>
      </w:r>
      <w:r w:rsidR="005E56D6" w:rsidRPr="00536B8D">
        <w:t xml:space="preserve">should be done far earlier and more extensively than currently occurs. </w:t>
      </w:r>
      <w:r w:rsidR="00CD62E7" w:rsidRPr="00536B8D">
        <w:t xml:space="preserve">This would have regional implications to because </w:t>
      </w:r>
      <w:r w:rsidR="003A1DA2" w:rsidRPr="00536B8D">
        <w:t>a smoother</w:t>
      </w:r>
      <w:r w:rsidR="00772CB5" w:rsidRPr="00536B8D">
        <w:t xml:space="preserve"> transition between declining and growing industrial clusters within a region can be facilitated</w:t>
      </w:r>
      <w:r w:rsidR="00D1416A" w:rsidRPr="00536B8D">
        <w:t xml:space="preserve">, </w:t>
      </w:r>
      <w:r w:rsidR="00CD62E7" w:rsidRPr="00536B8D">
        <w:t>leading to less significant job losses when the declining cluster eventually dies.</w:t>
      </w:r>
      <w:r w:rsidR="00F77FDB">
        <w:t xml:space="preserve"> This should be seen as part of a ‘just transition’ (</w:t>
      </w:r>
      <w:r w:rsidR="005F48D9">
        <w:t>de Ruyter et al, 2024)</w:t>
      </w:r>
    </w:p>
    <w:p w14:paraId="32C12052" w14:textId="77777777" w:rsidR="0071362C" w:rsidRPr="00536B8D" w:rsidRDefault="0071362C" w:rsidP="007A3782">
      <w:pPr>
        <w:rPr>
          <w:b/>
          <w:bCs/>
        </w:rPr>
      </w:pPr>
    </w:p>
    <w:p w14:paraId="1519C0E7" w14:textId="6FAF4A45" w:rsidR="00903C95" w:rsidRPr="00536B8D" w:rsidRDefault="0072766E" w:rsidP="007A3782">
      <w:r w:rsidRPr="00536B8D">
        <w:rPr>
          <w:b/>
          <w:bCs/>
        </w:rPr>
        <w:t>Business Environment - Innovation</w:t>
      </w:r>
    </w:p>
    <w:p w14:paraId="180A12BF" w14:textId="36DC6518" w:rsidR="00903C95" w:rsidRPr="00853534" w:rsidRDefault="0072766E" w:rsidP="00240327">
      <w:pPr>
        <w:numPr>
          <w:ilvl w:val="0"/>
          <w:numId w:val="8"/>
        </w:numPr>
        <w:rPr>
          <w:i/>
          <w:iCs/>
        </w:rPr>
      </w:pPr>
      <w:r w:rsidRPr="00853534">
        <w:rPr>
          <w:i/>
          <w:iCs/>
        </w:rPr>
        <w:t xml:space="preserve">Where you identified barriers in response to Question 7 which relate to </w:t>
      </w:r>
      <w:proofErr w:type="spellStart"/>
      <w:r w:rsidRPr="00853534">
        <w:rPr>
          <w:i/>
          <w:iCs/>
        </w:rPr>
        <w:t>RDI</w:t>
      </w:r>
      <w:proofErr w:type="spellEnd"/>
      <w:r w:rsidRPr="00853534">
        <w:rPr>
          <w:i/>
          <w:iCs/>
        </w:rPr>
        <w:t xml:space="preserve"> and technology adoption and diffusion, what policy solutions could best address these?</w:t>
      </w:r>
    </w:p>
    <w:p w14:paraId="5F63F3B0" w14:textId="79E463A6" w:rsidR="004513FC" w:rsidRPr="00536B8D" w:rsidRDefault="00A90BFF" w:rsidP="00A90BFF">
      <w:pPr>
        <w:jc w:val="both"/>
      </w:pPr>
      <w:r w:rsidRPr="003A15A3">
        <w:rPr>
          <w:b/>
          <w:bCs/>
          <w:i/>
          <w:iCs/>
        </w:rPr>
        <w:t>Response:</w:t>
      </w:r>
      <w:r>
        <w:t xml:space="preserve"> </w:t>
      </w:r>
      <w:r w:rsidR="00EA0E65" w:rsidRPr="00536B8D">
        <w:t>As it is argued in the response to Question 7, r</w:t>
      </w:r>
      <w:r w:rsidR="00B851CA" w:rsidRPr="00536B8D">
        <w:t xml:space="preserve">emoving/mitigating the (non-tariff) barriers to trade with the EU needs to be a priority. </w:t>
      </w:r>
      <w:r w:rsidR="003B7559" w:rsidRPr="00536B8D">
        <w:t>A</w:t>
      </w:r>
      <w:r w:rsidR="00B851CA" w:rsidRPr="00536B8D">
        <w:t xml:space="preserve"> commitment to dynamic alignment of regulatory standards with the EU would be</w:t>
      </w:r>
      <w:r w:rsidR="003B7559" w:rsidRPr="00536B8D">
        <w:t xml:space="preserve"> a</w:t>
      </w:r>
      <w:r w:rsidR="00B851CA" w:rsidRPr="00536B8D">
        <w:t xml:space="preserve"> way forward.</w:t>
      </w:r>
      <w:r w:rsidR="003B7559" w:rsidRPr="00536B8D">
        <w:t xml:space="preserve"> Indeed, in recent analysis of regional innovation data (Dimos et al., 2024), it is vividly illustrated that regulations – both UK and EU – are a significant barrier to innovation. The misalignment between UK and EU regulations </w:t>
      </w:r>
      <w:r w:rsidR="00BF1F16" w:rsidRPr="00536B8D">
        <w:t>makes</w:t>
      </w:r>
      <w:r w:rsidR="003B7559" w:rsidRPr="00536B8D">
        <w:t xml:space="preserve"> the UK a less attractive place for inward </w:t>
      </w:r>
      <w:proofErr w:type="spellStart"/>
      <w:r w:rsidR="003B7559" w:rsidRPr="00536B8D">
        <w:t>FDI</w:t>
      </w:r>
      <w:proofErr w:type="spellEnd"/>
      <w:r w:rsidR="003B7559" w:rsidRPr="00536B8D">
        <w:t xml:space="preserve"> which significantly compromises not only innovation but also productivity. Indeed, foreign firms in the UK tend to be more productive than domestic firms (Dimos et al., 2024)</w:t>
      </w:r>
      <w:r w:rsidR="005D592A" w:rsidRPr="00536B8D">
        <w:t xml:space="preserve"> and they constitute an important </w:t>
      </w:r>
      <w:r w:rsidR="00E12DD6" w:rsidRPr="00536B8D">
        <w:t>part in generating knowledge spillovers for the UK’s innovation ecosystem</w:t>
      </w:r>
      <w:proofErr w:type="gramStart"/>
      <w:r w:rsidR="00E12DD6" w:rsidRPr="00536B8D">
        <w:t xml:space="preserve">.  </w:t>
      </w:r>
      <w:proofErr w:type="gramEnd"/>
      <w:r w:rsidR="003B7559" w:rsidRPr="00536B8D">
        <w:t>Besides foreign firms</w:t>
      </w:r>
      <w:r w:rsidR="005D592A" w:rsidRPr="00536B8D">
        <w:t>,</w:t>
      </w:r>
      <w:r w:rsidR="003B7559" w:rsidRPr="00536B8D">
        <w:t xml:space="preserve"> domestic firms also struggle with UK regulations</w:t>
      </w:r>
      <w:r w:rsidR="00E12DD6" w:rsidRPr="00536B8D">
        <w:t xml:space="preserve"> (Dimos et al., 2024)</w:t>
      </w:r>
      <w:r w:rsidR="003B7559" w:rsidRPr="00536B8D">
        <w:t>. The</w:t>
      </w:r>
      <w:r w:rsidR="00F65E7D" w:rsidRPr="00536B8D">
        <w:t>refore, the</w:t>
      </w:r>
      <w:r w:rsidR="003B7559" w:rsidRPr="00536B8D">
        <w:t xml:space="preserve"> regulation barriers </w:t>
      </w:r>
      <w:r w:rsidR="00F65E7D" w:rsidRPr="00536B8D">
        <w:t xml:space="preserve">to innovation </w:t>
      </w:r>
      <w:r w:rsidR="006624CD" w:rsidRPr="00536B8D">
        <w:t>not only thin the innovation ecosystem but they also constitute a threat to undertaking R&amp;D and innovation activities.</w:t>
      </w:r>
      <w:r w:rsidR="004513FC" w:rsidRPr="00536B8D">
        <w:t xml:space="preserve"> In addition to removing/mitigating the (non-tariff) barriers to trade with the EU, the creation of certain facilities able to provide specialised guidance to firms </w:t>
      </w:r>
      <w:r w:rsidR="004513FC" w:rsidRPr="00536B8D">
        <w:lastRenderedPageBreak/>
        <w:t>around overcoming any regulation (UK and EU) challenges would be another policy solution.</w:t>
      </w:r>
    </w:p>
    <w:p w14:paraId="24B05B9C" w14:textId="37962334" w:rsidR="004513FC" w:rsidRPr="00536B8D" w:rsidRDefault="004513FC" w:rsidP="00A90BFF">
      <w:pPr>
        <w:jc w:val="both"/>
      </w:pPr>
      <w:r w:rsidRPr="00536B8D">
        <w:t xml:space="preserve">Another barrier identified in the response to Question 7 is the UK’s poor investment record. This </w:t>
      </w:r>
      <w:r w:rsidR="00AA67DB" w:rsidRPr="00536B8D">
        <w:t xml:space="preserve">underinvestment </w:t>
      </w:r>
      <w:r w:rsidRPr="00536B8D">
        <w:t xml:space="preserve">is indeed a pervasive issue also for innovation </w:t>
      </w:r>
      <w:r w:rsidR="00E021F6" w:rsidRPr="00536B8D">
        <w:t>with</w:t>
      </w:r>
      <w:r w:rsidRPr="00536B8D">
        <w:t xml:space="preserve"> firms consistently report</w:t>
      </w:r>
      <w:r w:rsidR="00E021F6" w:rsidRPr="00536B8D">
        <w:t>ing</w:t>
      </w:r>
      <w:r w:rsidRPr="00536B8D">
        <w:t xml:space="preserve"> </w:t>
      </w:r>
      <w:r w:rsidR="00E021F6" w:rsidRPr="00536B8D">
        <w:t>“economic risk</w:t>
      </w:r>
      <w:proofErr w:type="gramStart"/>
      <w:r w:rsidR="00E021F6" w:rsidRPr="00536B8D">
        <w:t>”,</w:t>
      </w:r>
      <w:proofErr w:type="gramEnd"/>
      <w:r w:rsidR="00E021F6" w:rsidRPr="00536B8D">
        <w:t xml:space="preserve"> “finance availability”, “cost of finance” and “high cost of innovation” as top barriers to </w:t>
      </w:r>
      <w:r w:rsidR="00AA67DB" w:rsidRPr="00536B8D">
        <w:t xml:space="preserve">investing in </w:t>
      </w:r>
      <w:r w:rsidR="00E021F6" w:rsidRPr="00536B8D">
        <w:t>innovation</w:t>
      </w:r>
      <w:r w:rsidR="00340E31" w:rsidRPr="00536B8D">
        <w:t xml:space="preserve"> (Dimos et al., 2024)</w:t>
      </w:r>
      <w:r w:rsidR="00E021F6" w:rsidRPr="00536B8D">
        <w:t>.</w:t>
      </w:r>
      <w:r w:rsidR="00AA67DB" w:rsidRPr="00536B8D">
        <w:t xml:space="preserve"> The strengthening of existing public R&amp;D support programmes (both R&amp;D grants and R&amp;D tax credits) can be a viable way forward alongside the </w:t>
      </w:r>
      <w:r w:rsidR="007D3D72" w:rsidRPr="00536B8D">
        <w:t xml:space="preserve">further </w:t>
      </w:r>
      <w:r w:rsidR="00AA67DB" w:rsidRPr="00536B8D">
        <w:t xml:space="preserve">development of </w:t>
      </w:r>
      <w:r w:rsidR="007D3D72" w:rsidRPr="00536B8D">
        <w:t>the three Venture Capital Schemes (VCS) (Venture Capital Trust, Enterprise Investment Scheme and Seed Enterprise Investment Scheme).</w:t>
      </w:r>
    </w:p>
    <w:p w14:paraId="1900346A" w14:textId="361F760C" w:rsidR="00861AB3" w:rsidRDefault="004513FC" w:rsidP="00A90BFF">
      <w:pPr>
        <w:jc w:val="both"/>
      </w:pPr>
      <w:r w:rsidRPr="00536B8D">
        <w:t>Furthermore</w:t>
      </w:r>
      <w:r w:rsidR="00B851CA" w:rsidRPr="00536B8D">
        <w:t>, r</w:t>
      </w:r>
      <w:r w:rsidR="00861AB3" w:rsidRPr="00536B8D">
        <w:t xml:space="preserve">ecent analysis of regional </w:t>
      </w:r>
      <w:r w:rsidR="00494C11" w:rsidRPr="00536B8D">
        <w:t xml:space="preserve">innovation </w:t>
      </w:r>
      <w:r w:rsidR="00861AB3" w:rsidRPr="00536B8D">
        <w:t>data (Dimos et al., 2024)</w:t>
      </w:r>
      <w:r w:rsidR="007008B8" w:rsidRPr="00536B8D">
        <w:t xml:space="preserve"> shows </w:t>
      </w:r>
      <w:r w:rsidR="002B393B" w:rsidRPr="00536B8D">
        <w:t>a</w:t>
      </w:r>
      <w:r w:rsidR="00CE192E" w:rsidRPr="00536B8D">
        <w:t>lso a</w:t>
      </w:r>
      <w:r w:rsidR="00EE0B24" w:rsidRPr="00536B8D">
        <w:t xml:space="preserve"> pervasive </w:t>
      </w:r>
      <w:r w:rsidR="00BF5ED3" w:rsidRPr="00536B8D">
        <w:t xml:space="preserve">barrier to innovation being the </w:t>
      </w:r>
      <w:r w:rsidR="00EE0B24" w:rsidRPr="00536B8D">
        <w:t>‘lack of qualified personnel</w:t>
      </w:r>
      <w:r w:rsidR="00BF5ED3" w:rsidRPr="00536B8D">
        <w:t xml:space="preserve">’ </w:t>
      </w:r>
      <w:r w:rsidR="00EC0370" w:rsidRPr="00536B8D">
        <w:t>across</w:t>
      </w:r>
      <w:r w:rsidR="00EE0B24" w:rsidRPr="00536B8D">
        <w:t xml:space="preserve"> </w:t>
      </w:r>
      <w:r w:rsidR="002B393B" w:rsidRPr="00536B8D">
        <w:t>UK regions</w:t>
      </w:r>
      <w:r w:rsidR="0013413E" w:rsidRPr="00536B8D">
        <w:t xml:space="preserve"> and especially for micro establishments and SMEs</w:t>
      </w:r>
      <w:r w:rsidR="002B393B" w:rsidRPr="00536B8D">
        <w:t>. However, for certain regions this</w:t>
      </w:r>
      <w:r w:rsidR="00EE0B24" w:rsidRPr="00536B8D">
        <w:t xml:space="preserve"> apparently contradicts Census</w:t>
      </w:r>
      <w:r w:rsidR="00494C11" w:rsidRPr="00536B8D">
        <w:t xml:space="preserve"> </w:t>
      </w:r>
      <w:r w:rsidR="00EE0B24" w:rsidRPr="00536B8D">
        <w:t xml:space="preserve">and other </w:t>
      </w:r>
      <w:r w:rsidR="00494C11" w:rsidRPr="00536B8D">
        <w:t xml:space="preserve">ONS </w:t>
      </w:r>
      <w:r w:rsidR="00EE0B24" w:rsidRPr="00536B8D">
        <w:t xml:space="preserve">data </w:t>
      </w:r>
      <w:r w:rsidR="00B851CA" w:rsidRPr="00536B8D">
        <w:t>which document</w:t>
      </w:r>
      <w:r w:rsidR="00EE0B24" w:rsidRPr="00536B8D">
        <w:t xml:space="preserve"> </w:t>
      </w:r>
      <w:r w:rsidR="00494C11" w:rsidRPr="00536B8D">
        <w:t>a</w:t>
      </w:r>
      <w:r w:rsidR="00EE0B24" w:rsidRPr="00536B8D">
        <w:t xml:space="preserve"> highly qualified </w:t>
      </w:r>
      <w:r w:rsidR="00494C11" w:rsidRPr="00536B8D">
        <w:t>workforce and relatively small skills gaps</w:t>
      </w:r>
      <w:r w:rsidR="00BF5ED3" w:rsidRPr="00536B8D">
        <w:t xml:space="preserve">. </w:t>
      </w:r>
      <w:r w:rsidR="00B851CA" w:rsidRPr="00536B8D">
        <w:t>Th</w:t>
      </w:r>
      <w:r w:rsidR="00CE192E" w:rsidRPr="00536B8D">
        <w:t xml:space="preserve">is points towards a </w:t>
      </w:r>
      <w:r w:rsidR="00B851CA" w:rsidRPr="00536B8D">
        <w:t>potential mismatc</w:t>
      </w:r>
      <w:r w:rsidR="00CE192E" w:rsidRPr="00536B8D">
        <w:t>h</w:t>
      </w:r>
      <w:r w:rsidR="00B851CA" w:rsidRPr="00536B8D">
        <w:t xml:space="preserve"> between workforce qualification / skills</w:t>
      </w:r>
      <w:r w:rsidR="00EC0370" w:rsidRPr="00536B8D">
        <w:t xml:space="preserve"> </w:t>
      </w:r>
      <w:r w:rsidR="00B851CA" w:rsidRPr="00536B8D">
        <w:t>and the innovation-specific skills required</w:t>
      </w:r>
      <w:r w:rsidR="00CE192E" w:rsidRPr="00536B8D">
        <w:t xml:space="preserve"> by employers</w:t>
      </w:r>
      <w:r w:rsidR="00B851CA" w:rsidRPr="00536B8D">
        <w:t xml:space="preserve">. </w:t>
      </w:r>
      <w:r w:rsidR="00532702" w:rsidRPr="00536B8D">
        <w:t>Introduction of innovation-oriented modules in the national curriculum and i</w:t>
      </w:r>
      <w:r w:rsidR="00CE192E" w:rsidRPr="00536B8D">
        <w:t xml:space="preserve">nnovation-targeted training programmes </w:t>
      </w:r>
      <w:r w:rsidR="00532702" w:rsidRPr="00536B8D">
        <w:t xml:space="preserve">potentially run by a meso-level regional tier of governance (see Question 7) </w:t>
      </w:r>
      <w:r w:rsidR="00CE192E" w:rsidRPr="00536B8D">
        <w:t>would be a way forward.</w:t>
      </w:r>
    </w:p>
    <w:p w14:paraId="24887277" w14:textId="77777777" w:rsidR="00853534" w:rsidRPr="00536B8D" w:rsidRDefault="00853534" w:rsidP="00A90BFF">
      <w:pPr>
        <w:jc w:val="both"/>
      </w:pPr>
    </w:p>
    <w:p w14:paraId="557DDF09" w14:textId="77777777" w:rsidR="00903C95" w:rsidRPr="00A90BFF" w:rsidRDefault="0072766E" w:rsidP="00240327">
      <w:pPr>
        <w:numPr>
          <w:ilvl w:val="0"/>
          <w:numId w:val="8"/>
        </w:numPr>
        <w:rPr>
          <w:i/>
          <w:iCs/>
        </w:rPr>
      </w:pPr>
      <w:r w:rsidRPr="00A90BFF">
        <w:rPr>
          <w:i/>
          <w:iCs/>
        </w:rPr>
        <w:t xml:space="preserve">What are the barriers to R&amp;D commercialisation that the UK government should be considering? </w:t>
      </w:r>
    </w:p>
    <w:p w14:paraId="61FC4938" w14:textId="44CAD090" w:rsidR="00D7429B" w:rsidRPr="00536B8D" w:rsidRDefault="00A90BFF" w:rsidP="00A90BFF">
      <w:pPr>
        <w:jc w:val="both"/>
      </w:pPr>
      <w:r w:rsidRPr="003A15A3">
        <w:rPr>
          <w:b/>
          <w:bCs/>
          <w:i/>
          <w:iCs/>
        </w:rPr>
        <w:t>Response:</w:t>
      </w:r>
      <w:r>
        <w:t xml:space="preserve">  </w:t>
      </w:r>
      <w:r w:rsidR="00D7429B" w:rsidRPr="00536B8D">
        <w:t xml:space="preserve">One significant barrier is the disconnect between academic and commercial skillsets. While university </w:t>
      </w:r>
      <w:r w:rsidR="00BF1F16" w:rsidRPr="00536B8D">
        <w:t>spinouts</w:t>
      </w:r>
      <w:r w:rsidR="00D7429B" w:rsidRPr="00536B8D">
        <w:t xml:space="preserve"> often originate from groundbreaking research, many academics lack the entrepreneurial expertise required to build and scale a business. </w:t>
      </w:r>
      <w:r w:rsidR="00633309" w:rsidRPr="00536B8D">
        <w:t>In tackling this barrier, linking a</w:t>
      </w:r>
      <w:r w:rsidR="00D7429B" w:rsidRPr="00536B8D">
        <w:t xml:space="preserve">cademic co-founders </w:t>
      </w:r>
      <w:r w:rsidR="00633309" w:rsidRPr="00536B8D">
        <w:t xml:space="preserve">to the complementary skillset of </w:t>
      </w:r>
      <w:r w:rsidR="00D7429B" w:rsidRPr="00536B8D">
        <w:t xml:space="preserve">commercial co-founders </w:t>
      </w:r>
      <w:r w:rsidR="00633309" w:rsidRPr="00536B8D">
        <w:t xml:space="preserve">is key in </w:t>
      </w:r>
      <w:r w:rsidR="00D7429B" w:rsidRPr="00536B8D">
        <w:t>successfully commercialis</w:t>
      </w:r>
      <w:r w:rsidR="00633309" w:rsidRPr="00536B8D">
        <w:t>ing</w:t>
      </w:r>
      <w:r w:rsidR="00D7429B" w:rsidRPr="00536B8D">
        <w:t xml:space="preserve"> the outcomes of R&amp;D</w:t>
      </w:r>
      <w:r w:rsidR="0073058D" w:rsidRPr="00536B8D">
        <w:t>.</w:t>
      </w:r>
    </w:p>
    <w:p w14:paraId="79E9D74B" w14:textId="6133313D" w:rsidR="006C31A8" w:rsidRPr="00536B8D" w:rsidRDefault="00CC6045" w:rsidP="00A90BFF">
      <w:pPr>
        <w:jc w:val="both"/>
      </w:pPr>
      <w:r w:rsidRPr="00536B8D">
        <w:t>Intrinsic i</w:t>
      </w:r>
      <w:r w:rsidR="00D7429B" w:rsidRPr="00536B8D">
        <w:t xml:space="preserve">nstitutional </w:t>
      </w:r>
      <w:r w:rsidR="00D527A4" w:rsidRPr="00536B8D">
        <w:t>practices</w:t>
      </w:r>
      <w:r w:rsidR="00D7429B" w:rsidRPr="00536B8D">
        <w:t xml:space="preserve"> within universities also pose challenges. </w:t>
      </w:r>
      <w:r w:rsidR="005E7B75" w:rsidRPr="00536B8D">
        <w:t xml:space="preserve">Universities </w:t>
      </w:r>
      <w:r w:rsidR="00D7429B" w:rsidRPr="00536B8D">
        <w:t>publish research for public benefit rather than pursuing defensible intellectual property (e.g., patents)</w:t>
      </w:r>
      <w:r w:rsidRPr="00536B8D">
        <w:t xml:space="preserve">. This, however, </w:t>
      </w:r>
      <w:r w:rsidR="00D7429B" w:rsidRPr="00536B8D">
        <w:t xml:space="preserve">can deter investors </w:t>
      </w:r>
      <w:r w:rsidRPr="00536B8D">
        <w:t xml:space="preserve">as the outcomes of such R&amp;D suffer from serious appropriability issues. </w:t>
      </w:r>
      <w:r w:rsidR="00D7429B" w:rsidRPr="00536B8D">
        <w:t xml:space="preserve">Moreover, </w:t>
      </w:r>
      <w:r w:rsidR="007A3782">
        <w:t xml:space="preserve">the </w:t>
      </w:r>
      <w:r w:rsidRPr="00536B8D">
        <w:t xml:space="preserve">initial equity </w:t>
      </w:r>
      <w:r w:rsidR="007A3782">
        <w:t xml:space="preserve">stakes </w:t>
      </w:r>
      <w:r w:rsidRPr="00536B8D">
        <w:t>that un</w:t>
      </w:r>
      <w:r w:rsidR="00D7429B" w:rsidRPr="00536B8D">
        <w:t xml:space="preserve">iversities </w:t>
      </w:r>
      <w:r w:rsidRPr="00536B8D">
        <w:t>typically take</w:t>
      </w:r>
      <w:r w:rsidR="00D7429B" w:rsidRPr="00536B8D">
        <w:t xml:space="preserve"> </w:t>
      </w:r>
      <w:r w:rsidRPr="00536B8D">
        <w:t xml:space="preserve">may </w:t>
      </w:r>
      <w:r w:rsidR="00AA3589" w:rsidRPr="00536B8D">
        <w:t>give rise</w:t>
      </w:r>
      <w:r w:rsidRPr="00536B8D">
        <w:t xml:space="preserve"> to disincentives to </w:t>
      </w:r>
      <w:r w:rsidR="007A3782">
        <w:t xml:space="preserve">private </w:t>
      </w:r>
      <w:r w:rsidRPr="00536B8D">
        <w:t>invest</w:t>
      </w:r>
      <w:r w:rsidR="007A3782">
        <w:t>ment.</w:t>
      </w:r>
      <w:r w:rsidR="006173BC" w:rsidRPr="00536B8D">
        <w:t xml:space="preserve"> Even if they </w:t>
      </w:r>
      <w:r w:rsidR="007A3782">
        <w:t xml:space="preserve">do </w:t>
      </w:r>
      <w:r w:rsidR="006173BC" w:rsidRPr="00536B8D">
        <w:t xml:space="preserve">invest, there may be </w:t>
      </w:r>
      <w:r w:rsidR="00B96991" w:rsidRPr="00536B8D">
        <w:t>issues</w:t>
      </w:r>
      <w:r w:rsidR="006173BC" w:rsidRPr="00536B8D">
        <w:t xml:space="preserve"> in successfully running the spin-out arising from incompatible mindsets and different ambitions between academics and investors / shareholders.</w:t>
      </w:r>
    </w:p>
    <w:p w14:paraId="28B1FC85" w14:textId="314930A7" w:rsidR="00ED2248" w:rsidRPr="00536B8D" w:rsidRDefault="006C31A8" w:rsidP="00A90BFF">
      <w:pPr>
        <w:jc w:val="both"/>
      </w:pPr>
      <w:r w:rsidRPr="00536B8D">
        <w:t>Another barrier is</w:t>
      </w:r>
      <w:r w:rsidR="00D7429B" w:rsidRPr="00536B8D">
        <w:t xml:space="preserve"> the lengthy time</w:t>
      </w:r>
      <w:r w:rsidRPr="00536B8D">
        <w:t xml:space="preserve"> required </w:t>
      </w:r>
      <w:r w:rsidR="00D7429B" w:rsidRPr="00536B8D">
        <w:t xml:space="preserve">from </w:t>
      </w:r>
      <w:r w:rsidR="005632C9" w:rsidRPr="00536B8D">
        <w:t xml:space="preserve">the research </w:t>
      </w:r>
      <w:r w:rsidR="00D7429B" w:rsidRPr="00536B8D">
        <w:t>lab to market</w:t>
      </w:r>
      <w:r w:rsidRPr="00536B8D">
        <w:t xml:space="preserve">. This translates into higher commercialisation </w:t>
      </w:r>
      <w:r w:rsidR="00F77FDB" w:rsidRPr="00536B8D">
        <w:t>risk,</w:t>
      </w:r>
      <w:r w:rsidRPr="00536B8D">
        <w:t xml:space="preserve"> and it </w:t>
      </w:r>
      <w:r w:rsidR="00D7429B" w:rsidRPr="00536B8D">
        <w:t>requires substantial patient investment. Early-stage funding gaps exacerbate the difficulty, particularly for projects needing significant resources to develop commercially viable products.</w:t>
      </w:r>
    </w:p>
    <w:p w14:paraId="77FA971B" w14:textId="77777777" w:rsidR="00ED2248" w:rsidRPr="00536B8D" w:rsidRDefault="00ED2248" w:rsidP="00A90BFF">
      <w:pPr>
        <w:jc w:val="both"/>
      </w:pPr>
    </w:p>
    <w:p w14:paraId="58E23835" w14:textId="77777777" w:rsidR="00903C95" w:rsidRPr="00536B8D" w:rsidRDefault="0072766E" w:rsidP="007A3782">
      <w:pPr>
        <w:rPr>
          <w:b/>
          <w:bCs/>
        </w:rPr>
      </w:pPr>
      <w:r w:rsidRPr="00536B8D">
        <w:rPr>
          <w:b/>
          <w:bCs/>
        </w:rPr>
        <w:t>Business Environment - Data</w:t>
      </w:r>
    </w:p>
    <w:p w14:paraId="79931E38" w14:textId="77777777" w:rsidR="00903C95" w:rsidRPr="00A90BFF" w:rsidRDefault="0072766E" w:rsidP="00240327">
      <w:pPr>
        <w:numPr>
          <w:ilvl w:val="0"/>
          <w:numId w:val="8"/>
        </w:numPr>
        <w:rPr>
          <w:i/>
          <w:iCs/>
        </w:rPr>
      </w:pPr>
      <w:r w:rsidRPr="00A90BFF">
        <w:rPr>
          <w:i/>
          <w:iCs/>
        </w:rPr>
        <w:t>How can the UK government best use data to support the delivery of the Industrial Strategy?</w:t>
      </w:r>
    </w:p>
    <w:p w14:paraId="1BFB49CD" w14:textId="76037CC2" w:rsidR="00903C95" w:rsidRPr="00536B8D" w:rsidRDefault="00A90BFF" w:rsidP="00A90BFF">
      <w:pPr>
        <w:jc w:val="both"/>
      </w:pPr>
      <w:r w:rsidRPr="003A15A3">
        <w:rPr>
          <w:b/>
          <w:bCs/>
          <w:i/>
          <w:iCs/>
        </w:rPr>
        <w:t>Response:</w:t>
      </w:r>
      <w:r>
        <w:t xml:space="preserve">  </w:t>
      </w:r>
      <w:r w:rsidR="0072766E" w:rsidRPr="00536B8D">
        <w:t>There needs to be a greater appreciation of both the limitations and most practical uses of data within policy circles. Accurate, timely and relevant data are a necessary pre-requisite for effective policy: without them it is impossible to effectively assess results. One example of this is the fact that no subnational deflators (or measures of regional purchasing power) are used</w:t>
      </w:r>
      <w:r w:rsidR="00F55C4E" w:rsidRPr="00536B8D">
        <w:t xml:space="preserve"> (Hearne, </w:t>
      </w:r>
      <w:r w:rsidR="00530635" w:rsidRPr="00536B8D">
        <w:t>2021)</w:t>
      </w:r>
      <w:r w:rsidR="0072766E" w:rsidRPr="00536B8D">
        <w:t>.</w:t>
      </w:r>
    </w:p>
    <w:p w14:paraId="124AEFE7" w14:textId="792B5074" w:rsidR="00903C95" w:rsidRDefault="0072766E" w:rsidP="00A90BFF">
      <w:pPr>
        <w:jc w:val="both"/>
      </w:pPr>
      <w:r w:rsidRPr="00536B8D">
        <w:t xml:space="preserve">The natural corollary of this is that nominal productivity (and output) of London appears extremely high due to its elevated price level, leading policymakers to unhelpfully cast </w:t>
      </w:r>
      <w:r w:rsidR="007F3606" w:rsidRPr="00536B8D">
        <w:t xml:space="preserve">London </w:t>
      </w:r>
      <w:r w:rsidRPr="00536B8D">
        <w:t xml:space="preserve">as an exemplar to be emulated and distorting policy decisions as a result </w:t>
      </w:r>
      <w:bookmarkStart w:id="5" w:name="ZOTERO_BREF_8Nd1h5Nx4iwZ"/>
      <w:r w:rsidRPr="00536B8D">
        <w:t>(Coffey et al., 2023)</w:t>
      </w:r>
      <w:bookmarkEnd w:id="5"/>
      <w:r w:rsidR="007F3606" w:rsidRPr="00536B8D">
        <w:t xml:space="preserve">. </w:t>
      </w:r>
    </w:p>
    <w:p w14:paraId="79C8B83F" w14:textId="77777777" w:rsidR="00853534" w:rsidRPr="00536B8D" w:rsidRDefault="00853534" w:rsidP="00A90BFF">
      <w:pPr>
        <w:jc w:val="both"/>
      </w:pPr>
    </w:p>
    <w:p w14:paraId="03025834" w14:textId="77777777" w:rsidR="00903C95" w:rsidRPr="00536B8D" w:rsidRDefault="0072766E" w:rsidP="007A3782">
      <w:r w:rsidRPr="00536B8D">
        <w:rPr>
          <w:b/>
          <w:bCs/>
        </w:rPr>
        <w:t>Business Environment - Infrastructure</w:t>
      </w:r>
    </w:p>
    <w:p w14:paraId="0BFE6583" w14:textId="1B90C705" w:rsidR="00903C95" w:rsidRPr="00240327" w:rsidRDefault="0072766E" w:rsidP="00240327">
      <w:pPr>
        <w:pStyle w:val="ListParagraph"/>
        <w:numPr>
          <w:ilvl w:val="0"/>
          <w:numId w:val="9"/>
        </w:numPr>
        <w:rPr>
          <w:i/>
          <w:iCs/>
        </w:rPr>
      </w:pPr>
      <w:r w:rsidRPr="00240327">
        <w:rPr>
          <w:i/>
          <w:iCs/>
        </w:rPr>
        <w:t>Where you identified barriers in response to Question 7 which relate to planning, infrastructure and transport, what UK government policy solutions could best address these in addition to existing reforms? How can this best support regional growth?</w:t>
      </w:r>
    </w:p>
    <w:p w14:paraId="421554DB" w14:textId="1E894076" w:rsidR="00793992" w:rsidRPr="00A90BFF" w:rsidRDefault="0072766E" w:rsidP="00240327">
      <w:pPr>
        <w:numPr>
          <w:ilvl w:val="0"/>
          <w:numId w:val="9"/>
        </w:numPr>
        <w:rPr>
          <w:i/>
          <w:iCs/>
        </w:rPr>
      </w:pPr>
      <w:r w:rsidRPr="00A90BFF">
        <w:rPr>
          <w:i/>
          <w:iCs/>
        </w:rPr>
        <w:t xml:space="preserve">How can investment into infrastructure support the Industrial Strategy? What can the UK government do to better support this and facilitate co-investment? How does this differ across infrastructure classes? </w:t>
      </w:r>
    </w:p>
    <w:p w14:paraId="61C6DD58" w14:textId="798AFAE2" w:rsidR="00BF4943" w:rsidRPr="00536B8D" w:rsidRDefault="00A90BFF" w:rsidP="00A90BFF">
      <w:pPr>
        <w:jc w:val="both"/>
      </w:pPr>
      <w:r w:rsidRPr="003A15A3">
        <w:rPr>
          <w:b/>
          <w:bCs/>
          <w:i/>
          <w:iCs/>
        </w:rPr>
        <w:t>Response:</w:t>
      </w:r>
      <w:r>
        <w:t xml:space="preserve">  </w:t>
      </w:r>
      <w:r w:rsidR="00BA1C70" w:rsidRPr="00536B8D">
        <w:t xml:space="preserve">The energy, communication, transport, health and education infrastructures need to be fundamentally transformed in this decade to allow the UK </w:t>
      </w:r>
      <w:r w:rsidR="00BF4943" w:rsidRPr="00536B8D">
        <w:t xml:space="preserve">economy to prosper and growth. </w:t>
      </w:r>
    </w:p>
    <w:p w14:paraId="7E4D43DF" w14:textId="0184DB18" w:rsidR="00BA1C70" w:rsidRPr="00536B8D" w:rsidRDefault="00BF4943" w:rsidP="00A90BFF">
      <w:pPr>
        <w:jc w:val="both"/>
      </w:pPr>
      <w:r w:rsidRPr="00536B8D">
        <w:t xml:space="preserve">London is likely to </w:t>
      </w:r>
      <w:r w:rsidR="00C60380">
        <w:t>lose its</w:t>
      </w:r>
      <w:r w:rsidRPr="00536B8D">
        <w:t xml:space="preserve"> </w:t>
      </w:r>
      <w:r w:rsidR="00C60380">
        <w:t>‘</w:t>
      </w:r>
      <w:r w:rsidRPr="00536B8D">
        <w:t xml:space="preserve">growth </w:t>
      </w:r>
      <w:r w:rsidR="00C60380">
        <w:t>mojo</w:t>
      </w:r>
      <w:proofErr w:type="gramStart"/>
      <w:r w:rsidR="00C60380">
        <w:t>’,</w:t>
      </w:r>
      <w:proofErr w:type="gramEnd"/>
      <w:r w:rsidR="00C60380">
        <w:t xml:space="preserve"> </w:t>
      </w:r>
      <w:r w:rsidRPr="00536B8D">
        <w:t xml:space="preserve">due </w:t>
      </w:r>
      <w:r w:rsidR="00C60380">
        <w:t xml:space="preserve">to </w:t>
      </w:r>
      <w:r w:rsidRPr="00536B8D">
        <w:t>the loss of its centrality in the global financial sector and the trade frictions added by Brexit</w:t>
      </w:r>
      <w:r w:rsidR="00C60380">
        <w:t xml:space="preserve"> which</w:t>
      </w:r>
      <w:r w:rsidRPr="00536B8D">
        <w:t xml:space="preserve"> are blocking service exports from the capital. Therefore, </w:t>
      </w:r>
      <w:r w:rsidR="005F48D9">
        <w:t xml:space="preserve">prosperity and </w:t>
      </w:r>
      <w:r w:rsidRPr="00536B8D">
        <w:t xml:space="preserve">growth </w:t>
      </w:r>
      <w:r w:rsidR="00DD7F7D" w:rsidRPr="00536B8D">
        <w:t>must</w:t>
      </w:r>
      <w:r w:rsidRPr="00536B8D">
        <w:t xml:space="preserve"> </w:t>
      </w:r>
      <w:r w:rsidR="00A51F0C">
        <w:t xml:space="preserve">be promoted </w:t>
      </w:r>
      <w:r w:rsidRPr="00536B8D">
        <w:t xml:space="preserve">across the </w:t>
      </w:r>
      <w:r w:rsidR="00A51F0C">
        <w:t>wider c</w:t>
      </w:r>
      <w:r w:rsidRPr="00536B8D">
        <w:t>ountry</w:t>
      </w:r>
      <w:r w:rsidR="00A51F0C">
        <w:t>;</w:t>
      </w:r>
      <w:r w:rsidRPr="00536B8D">
        <w:t xml:space="preserve"> for this to happen the UK </w:t>
      </w:r>
      <w:r w:rsidR="00DD7F7D">
        <w:t xml:space="preserve">needs to </w:t>
      </w:r>
      <w:r w:rsidRPr="00536B8D">
        <w:t xml:space="preserve">commit </w:t>
      </w:r>
      <w:r w:rsidR="005F48D9">
        <w:t xml:space="preserve">to </w:t>
      </w:r>
      <w:r w:rsidRPr="00536B8D">
        <w:t xml:space="preserve">significant investment in its communication and transport networks. The UK is visibly behind other EU economies that for instance, have already fast trains connecting large cities cheaply and easily (see Italy, France, Spain, let alone, Japan, and many Asian economies), secure </w:t>
      </w:r>
      <w:proofErr w:type="spellStart"/>
      <w:r w:rsidRPr="00536B8D">
        <w:t>5G</w:t>
      </w:r>
      <w:proofErr w:type="spellEnd"/>
      <w:r w:rsidRPr="00536B8D">
        <w:t xml:space="preserve"> access beyond urban areas; or have free, high quality education until 16 (in the UK this not happening due to the two-tier education system) and cheaper university fees. </w:t>
      </w:r>
    </w:p>
    <w:p w14:paraId="22768B30" w14:textId="1BCD7A5D" w:rsidR="00FA374D" w:rsidRPr="00536B8D" w:rsidRDefault="00F129AE" w:rsidP="00A90BFF">
      <w:pPr>
        <w:jc w:val="both"/>
      </w:pPr>
      <w:r w:rsidRPr="00536B8D">
        <w:t>GB</w:t>
      </w:r>
      <w:r w:rsidR="007A3782">
        <w:t xml:space="preserve"> </w:t>
      </w:r>
      <w:r w:rsidRPr="00536B8D">
        <w:t>E</w:t>
      </w:r>
      <w:r w:rsidR="007A3782">
        <w:t>nergy</w:t>
      </w:r>
      <w:r w:rsidRPr="00536B8D">
        <w:t xml:space="preserve"> is a </w:t>
      </w:r>
      <w:r w:rsidR="007A3782">
        <w:t>promising</w:t>
      </w:r>
      <w:r w:rsidRPr="00536B8D">
        <w:t xml:space="preserve"> starting point to </w:t>
      </w:r>
      <w:r w:rsidR="00C60380">
        <w:t>‘</w:t>
      </w:r>
      <w:r w:rsidRPr="00536B8D">
        <w:t>kick of</w:t>
      </w:r>
      <w:r w:rsidR="007A3782">
        <w:t>f</w:t>
      </w:r>
      <w:r w:rsidR="00C60380">
        <w:t>’</w:t>
      </w:r>
      <w:r w:rsidRPr="00536B8D">
        <w:t xml:space="preserve"> the green energy transition in the UK. Access to decentralised (on-the-roof or under-the-feet energy) and cheaper energy </w:t>
      </w:r>
      <w:r w:rsidRPr="00536B8D">
        <w:lastRenderedPageBreak/>
        <w:t>enables energy security and energy inclusion (access to affordable energy for everyone)</w:t>
      </w:r>
      <w:r w:rsidR="005F48D9">
        <w:t xml:space="preserve">. This </w:t>
      </w:r>
      <w:r w:rsidRPr="00536B8D">
        <w:t xml:space="preserve">can be achieved </w:t>
      </w:r>
      <w:r w:rsidR="005F48D9">
        <w:t>through</w:t>
      </w:r>
      <w:r w:rsidRPr="00536B8D">
        <w:t xml:space="preserve"> </w:t>
      </w:r>
      <w:proofErr w:type="gramStart"/>
      <w:r w:rsidRPr="00536B8D">
        <w:t>a number of</w:t>
      </w:r>
      <w:proofErr w:type="gramEnd"/>
      <w:r w:rsidRPr="00536B8D">
        <w:t xml:space="preserve"> practical policy initiatives</w:t>
      </w:r>
      <w:r w:rsidR="007A3782">
        <w:t xml:space="preserve"> such as</w:t>
      </w:r>
      <w:r w:rsidRPr="00536B8D">
        <w:t>: 1) regulat</w:t>
      </w:r>
      <w:r w:rsidR="007A3782">
        <w:t>ing</w:t>
      </w:r>
      <w:r w:rsidRPr="00536B8D">
        <w:t xml:space="preserve"> the construction industry to build energy producing and consuming houses</w:t>
      </w:r>
      <w:r w:rsidR="007A3782">
        <w:t>;</w:t>
      </w:r>
      <w:r w:rsidRPr="00536B8D">
        <w:t xml:space="preserve"> 2) provid</w:t>
      </w:r>
      <w:r w:rsidR="007A3782">
        <w:t>ing</w:t>
      </w:r>
      <w:r w:rsidRPr="00536B8D">
        <w:t xml:space="preserve"> subsidies to incentiv</w:t>
      </w:r>
      <w:r w:rsidR="005F48D9">
        <w:t>ise</w:t>
      </w:r>
      <w:r w:rsidRPr="00536B8D">
        <w:t xml:space="preserve"> the adoption of green energy (solar or heat-pumps)</w:t>
      </w:r>
      <w:r w:rsidR="007A3782">
        <w:t>;</w:t>
      </w:r>
      <w:r w:rsidRPr="00536B8D">
        <w:t xml:space="preserve"> 3) relax</w:t>
      </w:r>
      <w:r w:rsidR="007A3782">
        <w:t>ing</w:t>
      </w:r>
      <w:r w:rsidRPr="00536B8D">
        <w:t xml:space="preserve"> conservation areas planning regulations to allow the installation of green energy</w:t>
      </w:r>
      <w:r w:rsidR="007A3782">
        <w:t>; and</w:t>
      </w:r>
      <w:r w:rsidRPr="00536B8D">
        <w:t xml:space="preserve"> 4) incentivis</w:t>
      </w:r>
      <w:r w:rsidR="007A3782">
        <w:t>ing</w:t>
      </w:r>
      <w:r w:rsidRPr="00536B8D">
        <w:t xml:space="preserve"> Local Councils to host green energy plants (wind farms).</w:t>
      </w:r>
    </w:p>
    <w:p w14:paraId="5762345E" w14:textId="77777777" w:rsidR="00BA1C70" w:rsidRPr="00536B8D" w:rsidRDefault="00BA1C70" w:rsidP="007A3782">
      <w:pPr>
        <w:rPr>
          <w:highlight w:val="yellow"/>
        </w:rPr>
      </w:pPr>
    </w:p>
    <w:p w14:paraId="0CE6D0FA" w14:textId="77777777" w:rsidR="00903C95" w:rsidRPr="00536B8D" w:rsidRDefault="0072766E" w:rsidP="007A3782">
      <w:r w:rsidRPr="00536B8D">
        <w:rPr>
          <w:b/>
          <w:bCs/>
        </w:rPr>
        <w:t>Business Environment - Regulation</w:t>
      </w:r>
    </w:p>
    <w:p w14:paraId="0DEBAEFC" w14:textId="77777777" w:rsidR="00903C95" w:rsidRPr="00A90BFF" w:rsidRDefault="0072766E" w:rsidP="00240327">
      <w:pPr>
        <w:numPr>
          <w:ilvl w:val="0"/>
          <w:numId w:val="9"/>
        </w:numPr>
        <w:rPr>
          <w:i/>
          <w:iCs/>
        </w:rPr>
      </w:pPr>
      <w:r w:rsidRPr="00A90BFF">
        <w:rPr>
          <w:i/>
          <w:iCs/>
        </w:rPr>
        <w:t>Do you have suggestions on where regulation can be reformed or introduced to encourage growth and innovation, including addressing any barriers you identified in Question 7?</w:t>
      </w:r>
    </w:p>
    <w:p w14:paraId="5C1A985C" w14:textId="77777777" w:rsidR="00853534" w:rsidRDefault="00A90BFF" w:rsidP="00240327">
      <w:pPr>
        <w:jc w:val="both"/>
      </w:pPr>
      <w:r w:rsidRPr="003A15A3">
        <w:rPr>
          <w:b/>
          <w:bCs/>
          <w:i/>
          <w:iCs/>
        </w:rPr>
        <w:t>Response:</w:t>
      </w:r>
      <w:r>
        <w:t xml:space="preserve">  </w:t>
      </w:r>
      <w:r w:rsidR="000765C2" w:rsidRPr="00536B8D">
        <w:t xml:space="preserve">Given the drag on investment caused by Brexit, a reset of </w:t>
      </w:r>
      <w:r w:rsidR="004037FB" w:rsidRPr="00536B8D">
        <w:t xml:space="preserve">EU relations is as pre-condition, alongside </w:t>
      </w:r>
      <w:r w:rsidR="000765C2" w:rsidRPr="00536B8D">
        <w:t>a commitment to dynamic alignment of regulatory standards with the EU</w:t>
      </w:r>
      <w:r w:rsidR="004037FB" w:rsidRPr="00536B8D">
        <w:t>.</w:t>
      </w:r>
    </w:p>
    <w:p w14:paraId="5812E106" w14:textId="24514040" w:rsidR="000765C2" w:rsidRPr="00536B8D" w:rsidRDefault="004037FB" w:rsidP="00A90BFF">
      <w:pPr>
        <w:ind w:left="720"/>
        <w:jc w:val="both"/>
      </w:pPr>
      <w:r w:rsidRPr="00536B8D">
        <w:t xml:space="preserve"> </w:t>
      </w:r>
    </w:p>
    <w:p w14:paraId="25A4BAD0" w14:textId="77777777" w:rsidR="00903C95" w:rsidRPr="00536B8D" w:rsidRDefault="0072766E" w:rsidP="007A3782">
      <w:r w:rsidRPr="00536B8D">
        <w:rPr>
          <w:b/>
          <w:bCs/>
        </w:rPr>
        <w:t>Business Environment – Crowding in Investment</w:t>
      </w:r>
    </w:p>
    <w:p w14:paraId="7A1933E5" w14:textId="43BD41D5" w:rsidR="00853534" w:rsidRPr="00240327" w:rsidRDefault="0072766E" w:rsidP="00240327">
      <w:pPr>
        <w:pStyle w:val="ListParagraph"/>
        <w:numPr>
          <w:ilvl w:val="0"/>
          <w:numId w:val="10"/>
        </w:numPr>
        <w:rPr>
          <w:i/>
          <w:iCs/>
        </w:rPr>
      </w:pPr>
      <w:r w:rsidRPr="00240327">
        <w:rPr>
          <w:i/>
          <w:iCs/>
        </w:rPr>
        <w:t xml:space="preserve">What are the main factors that influence businesses’ investment decisions? Do these differ for the growth-driving sectors and based on the nature of the investment (e.g. buildings, machinery &amp; equipment, vehicles, software, </w:t>
      </w:r>
      <w:proofErr w:type="spellStart"/>
      <w:r w:rsidRPr="00240327">
        <w:rPr>
          <w:i/>
          <w:iCs/>
        </w:rPr>
        <w:t>RDI</w:t>
      </w:r>
      <w:proofErr w:type="spellEnd"/>
      <w:r w:rsidRPr="00240327">
        <w:rPr>
          <w:i/>
          <w:iCs/>
        </w:rPr>
        <w:t>, workforce skills) and types of firms (large, small, domestic, international, across different regions)?</w:t>
      </w:r>
    </w:p>
    <w:p w14:paraId="27AA0C62" w14:textId="66EBAB58" w:rsidR="00653039" w:rsidRPr="00853534" w:rsidRDefault="00A90BFF" w:rsidP="00853534">
      <w:pPr>
        <w:rPr>
          <w:i/>
          <w:iCs/>
        </w:rPr>
      </w:pPr>
      <w:r w:rsidRPr="00853534">
        <w:rPr>
          <w:b/>
          <w:bCs/>
          <w:i/>
          <w:iCs/>
        </w:rPr>
        <w:t>Response:</w:t>
      </w:r>
      <w:r>
        <w:t xml:space="preserve">  </w:t>
      </w:r>
      <w:r w:rsidR="008D3EC2">
        <w:t>There are numerous issues here</w:t>
      </w:r>
      <w:r w:rsidR="00CB6AE0" w:rsidRPr="00536B8D">
        <w:t xml:space="preserve">. The size of the market is critical – this has effectively narrowed since Brexit (see response to Point </w:t>
      </w:r>
      <w:r w:rsidR="002978BF" w:rsidRPr="00536B8D">
        <w:t xml:space="preserve">7). </w:t>
      </w:r>
    </w:p>
    <w:p w14:paraId="312AB143" w14:textId="04F49E84" w:rsidR="0026351F" w:rsidRPr="00536B8D" w:rsidRDefault="002978BF" w:rsidP="00853534">
      <w:pPr>
        <w:jc w:val="both"/>
      </w:pPr>
      <w:r w:rsidRPr="00536B8D">
        <w:t>Investment in infrastructure</w:t>
      </w:r>
      <w:r w:rsidR="00D83E6D" w:rsidRPr="00536B8D">
        <w:t xml:space="preserve"> and skills are </w:t>
      </w:r>
      <w:r w:rsidRPr="00536B8D">
        <w:t>critical</w:t>
      </w:r>
      <w:r w:rsidR="00D83E6D" w:rsidRPr="00536B8D">
        <w:t xml:space="preserve">. </w:t>
      </w:r>
      <w:r w:rsidR="0026351F" w:rsidRPr="00536B8D">
        <w:t xml:space="preserve">The UK’s </w:t>
      </w:r>
      <w:r w:rsidR="00CF7E16" w:rsidRPr="00536B8D">
        <w:t xml:space="preserve">aged </w:t>
      </w:r>
      <w:r w:rsidR="0026351F" w:rsidRPr="00536B8D">
        <w:t xml:space="preserve">infrastructure is in dire need of modernisation, particularly in the context of new technologies and shifting energy needs. By pledging to invest in broadband, electricity supply, rail and roads, </w:t>
      </w:r>
      <w:r w:rsidR="00824E79" w:rsidRPr="00536B8D">
        <w:t xml:space="preserve">the foundations are laid out </w:t>
      </w:r>
      <w:r w:rsidR="0026351F" w:rsidRPr="00536B8D">
        <w:t xml:space="preserve">for a more interconnected economy. Improved connectivity </w:t>
      </w:r>
      <w:r w:rsidR="00C673EC" w:rsidRPr="00536B8D">
        <w:t xml:space="preserve">between complementary </w:t>
      </w:r>
      <w:r w:rsidR="009C5D5D" w:rsidRPr="00536B8D">
        <w:t>firms, within and between supply chains,</w:t>
      </w:r>
      <w:r w:rsidR="00921872" w:rsidRPr="00536B8D">
        <w:t xml:space="preserve"> and</w:t>
      </w:r>
      <w:r w:rsidR="009C5D5D" w:rsidRPr="00536B8D">
        <w:t xml:space="preserve"> </w:t>
      </w:r>
      <w:r w:rsidR="00921872" w:rsidRPr="00536B8D">
        <w:t xml:space="preserve">across space </w:t>
      </w:r>
      <w:r w:rsidR="0026351F" w:rsidRPr="00536B8D">
        <w:t>could</w:t>
      </w:r>
      <w:r w:rsidR="00B07567" w:rsidRPr="00536B8D">
        <w:t xml:space="preserve"> purposefully</w:t>
      </w:r>
      <w:r w:rsidR="0026351F" w:rsidRPr="00536B8D">
        <w:t xml:space="preserve"> boost productivity</w:t>
      </w:r>
      <w:r w:rsidR="00B07567" w:rsidRPr="00536B8D">
        <w:t xml:space="preserve"> as well as </w:t>
      </w:r>
      <w:r w:rsidR="00C60968" w:rsidRPr="00536B8D">
        <w:t>positive</w:t>
      </w:r>
      <w:r w:rsidR="0026351F" w:rsidRPr="00536B8D">
        <w:t xml:space="preserve"> spillovers across space, reduce economic disparities between different regions, and attract investments in areas that have been economically stagnant for years.</w:t>
      </w:r>
    </w:p>
    <w:p w14:paraId="0FEB1830" w14:textId="49CC8B39" w:rsidR="00CB6AE0" w:rsidRPr="00536B8D" w:rsidRDefault="00824E79" w:rsidP="00853534">
      <w:pPr>
        <w:jc w:val="both"/>
      </w:pPr>
      <w:r w:rsidRPr="00536B8D">
        <w:t xml:space="preserve">Places blessed with strong and capable infrastructures, are more likely to attract new firms and investment that drive local growth. </w:t>
      </w:r>
    </w:p>
    <w:p w14:paraId="47EC1303" w14:textId="77777777" w:rsidR="00853534" w:rsidRDefault="00853534" w:rsidP="007A3782">
      <w:pPr>
        <w:rPr>
          <w:b/>
          <w:bCs/>
        </w:rPr>
      </w:pPr>
    </w:p>
    <w:p w14:paraId="73C02033" w14:textId="77777777" w:rsidR="00903C95" w:rsidRPr="00536B8D" w:rsidRDefault="0072766E" w:rsidP="007A3782">
      <w:pPr>
        <w:rPr>
          <w:b/>
          <w:bCs/>
        </w:rPr>
      </w:pPr>
      <w:r w:rsidRPr="00536B8D">
        <w:rPr>
          <w:b/>
          <w:bCs/>
        </w:rPr>
        <w:t>Place</w:t>
      </w:r>
    </w:p>
    <w:p w14:paraId="2CA02F74" w14:textId="25DD40DD" w:rsidR="00903C95" w:rsidRPr="00240327" w:rsidRDefault="0072766E" w:rsidP="00240327">
      <w:pPr>
        <w:pStyle w:val="ListParagraph"/>
        <w:numPr>
          <w:ilvl w:val="0"/>
          <w:numId w:val="11"/>
        </w:numPr>
        <w:rPr>
          <w:i/>
          <w:iCs/>
        </w:rPr>
      </w:pPr>
      <w:r w:rsidRPr="00240327">
        <w:rPr>
          <w:i/>
          <w:iCs/>
        </w:rPr>
        <w:lastRenderedPageBreak/>
        <w:t>Do you agree with this characterisation of clusters? Are there any additional characteristics of dimensions of cluster definition and strength we should consider, such as the difference between services clusters and manufacturing clusters?</w:t>
      </w:r>
    </w:p>
    <w:p w14:paraId="41049890" w14:textId="5C3DBCF1" w:rsidR="00C27F6B" w:rsidRPr="00536B8D" w:rsidRDefault="00A90BFF" w:rsidP="00A90BFF">
      <w:pPr>
        <w:jc w:val="both"/>
      </w:pPr>
      <w:r w:rsidRPr="003A15A3">
        <w:rPr>
          <w:b/>
          <w:bCs/>
          <w:i/>
          <w:iCs/>
        </w:rPr>
        <w:t>Response:</w:t>
      </w:r>
      <w:r>
        <w:t xml:space="preserve">  </w:t>
      </w:r>
      <w:r w:rsidR="00C27F6B" w:rsidRPr="00536B8D">
        <w:t>The definition of cluster</w:t>
      </w:r>
      <w:r w:rsidR="008D3EC2">
        <w:t>s</w:t>
      </w:r>
      <w:r w:rsidR="00C27F6B" w:rsidRPr="00536B8D">
        <w:t xml:space="preserve"> in the Green Paper is misleading in suggesting that clusters are self-contained systems of production. They are instead connected outwardly on many levels (knowledge exchange, intra-industry trade/ value chain exchanges, access to skills, innovation connection). In addition, </w:t>
      </w:r>
      <w:r w:rsidR="008D3EC2">
        <w:t>a</w:t>
      </w:r>
      <w:r w:rsidR="00C27F6B" w:rsidRPr="00536B8D">
        <w:t xml:space="preserve"> cluster can feed in</w:t>
      </w:r>
      <w:r w:rsidR="008D3EC2">
        <w:t>to</w:t>
      </w:r>
      <w:r w:rsidR="00C27F6B" w:rsidRPr="00536B8D">
        <w:t xml:space="preserve"> different value chains that rely on similar technologies or knowledge base</w:t>
      </w:r>
      <w:r w:rsidR="008D3EC2">
        <w:t>s (enabling technologies)</w:t>
      </w:r>
      <w:r w:rsidR="00C27F6B" w:rsidRPr="00536B8D">
        <w:t xml:space="preserve">. Finally, the nature of clusters is changing because the nature of industries </w:t>
      </w:r>
      <w:r w:rsidR="00A51F0C" w:rsidRPr="00536B8D">
        <w:t>is</w:t>
      </w:r>
      <w:r w:rsidR="00C27F6B" w:rsidRPr="00536B8D">
        <w:t xml:space="preserve"> changing: the separation between manufacturing and services is important but now there are </w:t>
      </w:r>
      <w:r w:rsidR="00F77FDB" w:rsidRPr="00536B8D">
        <w:t>significant,</w:t>
      </w:r>
      <w:r w:rsidR="00C27F6B" w:rsidRPr="00536B8D">
        <w:t xml:space="preserve"> and value creation overlaps between the two. </w:t>
      </w:r>
    </w:p>
    <w:p w14:paraId="254207F9" w14:textId="74AE22CC" w:rsidR="00F129AE" w:rsidRPr="00536B8D" w:rsidRDefault="00F129AE" w:rsidP="00A90BFF">
      <w:pPr>
        <w:jc w:val="both"/>
      </w:pPr>
      <w:r w:rsidRPr="00536B8D">
        <w:t>The Green Paper refers many times to ‘high potential clusters’</w:t>
      </w:r>
      <w:r w:rsidR="00140633" w:rsidRPr="00536B8D">
        <w:t xml:space="preserve"> but they are not defined. There are possibly several types of clusters in the UK depending on whether they are immobile or mobile; locally embedded or </w:t>
      </w:r>
      <w:r w:rsidR="00C00E97" w:rsidRPr="00536B8D">
        <w:t xml:space="preserve">very shallow; in obsolescing technologies; export-oriented or not; energy-intensive or not. </w:t>
      </w:r>
    </w:p>
    <w:p w14:paraId="2A655495" w14:textId="77777777" w:rsidR="00C27F6B" w:rsidRPr="00536B8D" w:rsidRDefault="00C27F6B" w:rsidP="007A3782">
      <w:pPr>
        <w:ind w:left="720"/>
      </w:pPr>
    </w:p>
    <w:p w14:paraId="18493069" w14:textId="77777777" w:rsidR="00903C95" w:rsidRPr="00A90BFF" w:rsidRDefault="0072766E" w:rsidP="00240327">
      <w:pPr>
        <w:numPr>
          <w:ilvl w:val="0"/>
          <w:numId w:val="11"/>
        </w:numPr>
        <w:rPr>
          <w:i/>
          <w:iCs/>
        </w:rPr>
      </w:pPr>
      <w:r w:rsidRPr="00A90BFF">
        <w:rPr>
          <w:i/>
          <w:iCs/>
        </w:rPr>
        <w:t xml:space="preserve">What public and private sector interventions are needed to make strategic industrial sites ‘investment-ready’? How should we determine which sites across the UK are most critical for unlocking this investment? </w:t>
      </w:r>
    </w:p>
    <w:p w14:paraId="72A07867" w14:textId="13893173" w:rsidR="00745966" w:rsidRPr="00536B8D" w:rsidRDefault="00A90BFF" w:rsidP="00A90BFF">
      <w:pPr>
        <w:jc w:val="both"/>
      </w:pPr>
      <w:r w:rsidRPr="003A15A3">
        <w:rPr>
          <w:b/>
          <w:bCs/>
          <w:i/>
          <w:iCs/>
        </w:rPr>
        <w:t>Response:</w:t>
      </w:r>
      <w:r>
        <w:t xml:space="preserve">  </w:t>
      </w:r>
      <w:r w:rsidR="00745966" w:rsidRPr="00536B8D">
        <w:t xml:space="preserve">A UK industrial strategy aimed at enhancing productivity can only be effective if the strategy connects with the underlying realities of the UK economy. Amongst large OECD economies the UK is almost unique in the extent to which productivity problems are geographical and regional problems rather than </w:t>
      </w:r>
      <w:r w:rsidR="008D3EC2">
        <w:t xml:space="preserve">being </w:t>
      </w:r>
      <w:r w:rsidR="00745966" w:rsidRPr="00536B8D">
        <w:t>sectoral problems. In the UK’s core regions - London plus its immediate hinterland - almost all sectors perform well while in the rest of the UK’s non-core regions only a few sectors perform well. Indeed, the degree to which productivity spillovers do not transmit or operate across such small distances between the core of the UK economy and the rest of the UK is almost unprecedented amongst OECD nations.</w:t>
      </w:r>
    </w:p>
    <w:p w14:paraId="48C7E71C" w14:textId="7839DC08" w:rsidR="007D39AA" w:rsidRDefault="007D39AA" w:rsidP="00A90BFF">
      <w:pPr>
        <w:jc w:val="both"/>
      </w:pPr>
      <w:r w:rsidRPr="00536B8D">
        <w:t>In terms of governance and connectivity issues, the UK’s highly centralised institutional set-up is inappropriate to deal with the many different and multi-faceted challenges faced by</w:t>
      </w:r>
      <w:r w:rsidR="00244B03" w:rsidRPr="00536B8D">
        <w:t xml:space="preserve"> </w:t>
      </w:r>
      <w:r w:rsidRPr="00536B8D">
        <w:t>its constituent regions. For instance, the combination of an overly London-centric transport infrastructure system along with a highly centralised UK system of government seems, if anything, to have inhibited London</w:t>
      </w:r>
      <w:r w:rsidR="005F48D9">
        <w:t>-</w:t>
      </w:r>
      <w:r w:rsidRPr="00536B8D">
        <w:t xml:space="preserve">centred productivity </w:t>
      </w:r>
      <w:r w:rsidR="00244B03" w:rsidRPr="00536B8D">
        <w:t>spillovers</w:t>
      </w:r>
      <w:r w:rsidRPr="00536B8D">
        <w:t xml:space="preserve"> from spreading further northwards. Consequently, London and its hinterland have become largely decoupled from the rest of the UK</w:t>
      </w:r>
      <w:proofErr w:type="gramStart"/>
      <w:r w:rsidRPr="00536B8D">
        <w:t xml:space="preserve">.  </w:t>
      </w:r>
      <w:proofErr w:type="gramEnd"/>
    </w:p>
    <w:p w14:paraId="1405D315" w14:textId="77777777" w:rsidR="008D3EC2" w:rsidRPr="00536B8D" w:rsidRDefault="008D3EC2" w:rsidP="007A3782"/>
    <w:p w14:paraId="4AD2F99F" w14:textId="77777777" w:rsidR="00903C95" w:rsidRPr="00A90BFF" w:rsidRDefault="0072766E" w:rsidP="00240327">
      <w:pPr>
        <w:numPr>
          <w:ilvl w:val="0"/>
          <w:numId w:val="11"/>
        </w:numPr>
        <w:rPr>
          <w:i/>
          <w:iCs/>
        </w:rPr>
      </w:pPr>
      <w:r w:rsidRPr="00A90BFF">
        <w:rPr>
          <w:i/>
          <w:iCs/>
        </w:rPr>
        <w:lastRenderedPageBreak/>
        <w:t>How should the Industrial Strategy accelerate growth in city regions and clusters of growth sectors across the UK through Local Growth Plans and other policy mechanisms?</w:t>
      </w:r>
    </w:p>
    <w:p w14:paraId="5A1004E8" w14:textId="68F578E4" w:rsidR="008814D8" w:rsidRPr="00536B8D" w:rsidRDefault="009C64D8" w:rsidP="00A90BFF">
      <w:pPr>
        <w:jc w:val="both"/>
      </w:pPr>
      <w:r w:rsidRPr="00536B8D">
        <w:t>T</w:t>
      </w:r>
      <w:r w:rsidR="00B3643E" w:rsidRPr="00536B8D">
        <w:t>he green paper bemoans</w:t>
      </w:r>
      <w:r w:rsidR="006E546C" w:rsidRPr="00536B8D">
        <w:t xml:space="preserve"> that </w:t>
      </w:r>
      <w:r w:rsidRPr="00536B8D">
        <w:t>‘</w:t>
      </w:r>
      <w:r w:rsidR="006E546C" w:rsidRPr="00536B8D">
        <w:rPr>
          <w:i/>
          <w:iCs/>
        </w:rPr>
        <w:t xml:space="preserve">Too often, the impact of </w:t>
      </w:r>
      <w:r w:rsidRPr="00536B8D">
        <w:rPr>
          <w:i/>
          <w:iCs/>
        </w:rPr>
        <w:t xml:space="preserve">(previous) </w:t>
      </w:r>
      <w:r w:rsidR="006E546C" w:rsidRPr="00536B8D">
        <w:rPr>
          <w:i/>
          <w:iCs/>
        </w:rPr>
        <w:t>industrial strategies has been concentrated in certain regions and not shared across communities</w:t>
      </w:r>
      <w:r w:rsidR="00F749A4" w:rsidRPr="00536B8D">
        <w:rPr>
          <w:i/>
          <w:iCs/>
        </w:rPr>
        <w:t>’</w:t>
      </w:r>
      <w:r w:rsidR="00F749A4" w:rsidRPr="00536B8D">
        <w:t xml:space="preserve"> (</w:t>
      </w:r>
      <w:proofErr w:type="spellStart"/>
      <w:r w:rsidR="00F749A4" w:rsidRPr="00536B8D">
        <w:t>p.28</w:t>
      </w:r>
      <w:proofErr w:type="spellEnd"/>
      <w:r w:rsidR="00F749A4" w:rsidRPr="00536B8D">
        <w:t>)</w:t>
      </w:r>
      <w:r w:rsidR="00F51298" w:rsidRPr="00536B8D">
        <w:t xml:space="preserve">. </w:t>
      </w:r>
      <w:r w:rsidR="004C5EF5" w:rsidRPr="00536B8D">
        <w:t>At the same time, i</w:t>
      </w:r>
      <w:r w:rsidR="009D2136" w:rsidRPr="00536B8D">
        <w:t xml:space="preserve">n England, the proposed </w:t>
      </w:r>
      <w:r w:rsidR="00B3643E" w:rsidRPr="00536B8D">
        <w:t>L</w:t>
      </w:r>
      <w:r w:rsidR="009D2136" w:rsidRPr="00536B8D">
        <w:t xml:space="preserve">ocal Growth plans will be set out and administered </w:t>
      </w:r>
      <w:r w:rsidR="003F03C8" w:rsidRPr="00536B8D">
        <w:t>through Mayoral</w:t>
      </w:r>
      <w:r w:rsidR="009D2136" w:rsidRPr="00536B8D">
        <w:t xml:space="preserve"> Combined Authorities</w:t>
      </w:r>
      <w:r w:rsidR="00415391" w:rsidRPr="00536B8D">
        <w:t xml:space="preserve"> (MCAs)</w:t>
      </w:r>
      <w:r w:rsidR="009D2136" w:rsidRPr="00536B8D">
        <w:t>. However, these only cover just over 40% of England’s population – so</w:t>
      </w:r>
      <w:r w:rsidR="003F03C8" w:rsidRPr="00536B8D">
        <w:t>, potentially,</w:t>
      </w:r>
      <w:r w:rsidR="009D2136" w:rsidRPr="00536B8D">
        <w:t xml:space="preserve"> not all areas </w:t>
      </w:r>
      <w:r w:rsidR="003F03C8" w:rsidRPr="00536B8D">
        <w:t xml:space="preserve">will </w:t>
      </w:r>
      <w:r w:rsidR="009D2136" w:rsidRPr="00536B8D">
        <w:t>benefit</w:t>
      </w:r>
      <w:proofErr w:type="gramStart"/>
      <w:r w:rsidR="009D2136" w:rsidRPr="00536B8D">
        <w:t xml:space="preserve">.  </w:t>
      </w:r>
      <w:proofErr w:type="gramEnd"/>
    </w:p>
    <w:p w14:paraId="035BB8AF" w14:textId="64CDCDC2" w:rsidR="008023BE" w:rsidRPr="00536B8D" w:rsidRDefault="008023BE" w:rsidP="00A90BFF">
      <w:pPr>
        <w:jc w:val="both"/>
      </w:pPr>
      <w:r w:rsidRPr="00536B8D">
        <w:t xml:space="preserve">The UK regional productivity problem is now the UK national productivity problem (McCann 2016), but the current institutional and infrastructure settings give government very little traction for addressing the problems. The UK institutional set up for three to four decades has been almost entirely blind to the geographical realities and therefore many policy initiatives are largely unrelated to the problems at hand. </w:t>
      </w:r>
    </w:p>
    <w:p w14:paraId="70C8B131" w14:textId="08EC5B21" w:rsidR="008023BE" w:rsidRPr="00536B8D" w:rsidRDefault="008023BE" w:rsidP="00A90BFF">
      <w:pPr>
        <w:jc w:val="both"/>
      </w:pPr>
      <w:r w:rsidRPr="00536B8D">
        <w:t>Indeed, in many ways the UK’s ‘national’ strategies have been a large part of the UK’s productivity problem. An over-emphasis on space-blind and sectoral-type thinking in central government for three decades, combined with a (mistaken in hindsight) belief that a dynamic London will drive the whole UK economy, has allowed the geographical issues to be largely ignored, or at least heavily under-played for decades</w:t>
      </w:r>
      <w:r w:rsidR="00415391" w:rsidRPr="00536B8D">
        <w:t xml:space="preserve"> (Fai and Tomlinson, 2023)</w:t>
      </w:r>
      <w:r w:rsidRPr="00536B8D">
        <w:t xml:space="preserve">. </w:t>
      </w:r>
    </w:p>
    <w:p w14:paraId="5E4297AA" w14:textId="036CB68E" w:rsidR="008023BE" w:rsidRPr="00536B8D" w:rsidRDefault="008023BE" w:rsidP="00A90BFF">
      <w:pPr>
        <w:jc w:val="both"/>
      </w:pPr>
      <w:r w:rsidRPr="00536B8D">
        <w:t xml:space="preserve">It is critical the </w:t>
      </w:r>
      <w:r w:rsidR="002F4E34" w:rsidRPr="00536B8D">
        <w:t xml:space="preserve">new </w:t>
      </w:r>
      <w:r w:rsidRPr="00536B8D">
        <w:t xml:space="preserve">industrial strategy trajectory does not again repeat these recurring mistakes, by excessively focusing on national sectoral issues. Fostering innovation, productivity, skills and entrepreneurship in the current UK context without seriously considering the spatial and institutional factors underpinning them will just repeat past mistakes. </w:t>
      </w:r>
    </w:p>
    <w:p w14:paraId="3BC14021" w14:textId="77777777" w:rsidR="008023BE" w:rsidRPr="00536B8D" w:rsidRDefault="008023BE" w:rsidP="00A90BFF">
      <w:pPr>
        <w:jc w:val="both"/>
      </w:pPr>
      <w:r w:rsidRPr="00536B8D">
        <w:t>Only a place-based approach to industrial policy - where policy is intentionally place-sensitive, place-aware and emphasises bottom-up policy design and tailored policy responses driving entrepreneurship and innovation (smart specialisation) - will allow these other elements outlined in the green paper to take shape. Indeed, building a place-based approach offers the potential to link themes such as R&amp;D, supply chain and skills in a place-based institutional approach.</w:t>
      </w:r>
    </w:p>
    <w:p w14:paraId="7FC616FD" w14:textId="243E8907" w:rsidR="008023BE" w:rsidRPr="00536B8D" w:rsidRDefault="008023BE" w:rsidP="00A90BFF">
      <w:pPr>
        <w:jc w:val="both"/>
      </w:pPr>
      <w:r w:rsidRPr="00536B8D">
        <w:t xml:space="preserve">Yet these issues only really come into the Green Paper at the very end, whereas in the UK case they underpin each of the </w:t>
      </w:r>
      <w:r w:rsidR="002F4E34" w:rsidRPr="00536B8D">
        <w:t xml:space="preserve">other </w:t>
      </w:r>
      <w:r w:rsidRPr="00536B8D">
        <w:t xml:space="preserve">productivity drivers. As such, these key features of the UK economy and polity need to be reflected throughout the whole industrial strategy document. Institutions are key to joining up sectors with regions and places. In this regard, fragmentation and uneven capacities mean that </w:t>
      </w:r>
      <w:r w:rsidR="00692525" w:rsidRPr="00536B8D">
        <w:t xml:space="preserve">MCAs, </w:t>
      </w:r>
      <w:r w:rsidR="00C73CE2" w:rsidRPr="00536B8D">
        <w:t xml:space="preserve">local authorities and councils </w:t>
      </w:r>
      <w:r w:rsidRPr="00536B8D">
        <w:t>are unlikely to serve as an effective framework for delivering this holistic approach.</w:t>
      </w:r>
    </w:p>
    <w:p w14:paraId="6D6CE26A" w14:textId="4AB92796" w:rsidR="008023BE" w:rsidRPr="00536B8D" w:rsidRDefault="008023BE" w:rsidP="00A90BFF">
      <w:pPr>
        <w:jc w:val="both"/>
      </w:pPr>
      <w:proofErr w:type="gramStart"/>
      <w:r w:rsidRPr="00536B8D">
        <w:lastRenderedPageBreak/>
        <w:t>In order to</w:t>
      </w:r>
      <w:proofErr w:type="gramEnd"/>
      <w:r w:rsidRPr="00536B8D">
        <w:t xml:space="preserve"> do this, the UK has to make some major and </w:t>
      </w:r>
      <w:r w:rsidR="00F14A8A" w:rsidRPr="00536B8D">
        <w:t>long-term</w:t>
      </w:r>
      <w:r w:rsidRPr="00536B8D">
        <w:t xml:space="preserve"> policy and institutional steps away from the view or vision that enhancing London’s performance is in the ‘national’ interest. London and its hinterland </w:t>
      </w:r>
      <w:proofErr w:type="gramStart"/>
      <w:r w:rsidRPr="00536B8D">
        <w:t>has</w:t>
      </w:r>
      <w:proofErr w:type="gramEnd"/>
      <w:r w:rsidRPr="00536B8D">
        <w:t xml:space="preserve"> already largely decoupled itself from the rest of the UK economy, and the benefits of productivity gains in London remain largely in London and its hinterland. </w:t>
      </w:r>
    </w:p>
    <w:p w14:paraId="0536FC1D" w14:textId="0E1B8DF0" w:rsidR="008023BE" w:rsidRPr="00536B8D" w:rsidRDefault="008023BE" w:rsidP="00A90BFF">
      <w:pPr>
        <w:jc w:val="both"/>
      </w:pPr>
      <w:r w:rsidRPr="00536B8D">
        <w:t xml:space="preserve">This will require the building of new regional meso-level institutions </w:t>
      </w:r>
      <w:r w:rsidR="00C93C13" w:rsidRPr="00536B8D">
        <w:t>and</w:t>
      </w:r>
      <w:r w:rsidRPr="00536B8D">
        <w:t xml:space="preserve"> coordinating systems. This is the most important challenge ahead for UK Industrial policy to address </w:t>
      </w:r>
      <w:proofErr w:type="gramStart"/>
      <w:r w:rsidRPr="00536B8D">
        <w:t>and also</w:t>
      </w:r>
      <w:proofErr w:type="gramEnd"/>
      <w:r w:rsidRPr="00536B8D">
        <w:t xml:space="preserve"> the most difficult to achieve.</w:t>
      </w:r>
    </w:p>
    <w:p w14:paraId="2972A4E6" w14:textId="5EBB0F99" w:rsidR="008023BE" w:rsidRPr="00536B8D" w:rsidRDefault="008023BE" w:rsidP="00A90BFF">
      <w:pPr>
        <w:jc w:val="both"/>
      </w:pPr>
      <w:r w:rsidRPr="00536B8D">
        <w:t xml:space="preserve">Much of the UK is currently trapped between policies being set at a national level – which is typically far too large to be meaningful </w:t>
      </w:r>
      <w:r w:rsidR="00B63827" w:rsidRPr="00536B8D">
        <w:t>–</w:t>
      </w:r>
      <w:r w:rsidRPr="00536B8D">
        <w:t xml:space="preserve"> or</w:t>
      </w:r>
      <w:r w:rsidR="00B63827" w:rsidRPr="00536B8D">
        <w:t>, when considered</w:t>
      </w:r>
      <w:r w:rsidRPr="00536B8D">
        <w:t xml:space="preserve"> at local levels</w:t>
      </w:r>
      <w:r w:rsidR="00276649" w:rsidRPr="00536B8D">
        <w:t xml:space="preserve"> refer only to </w:t>
      </w:r>
      <w:r w:rsidRPr="00536B8D">
        <w:t xml:space="preserve"> </w:t>
      </w:r>
      <w:r w:rsidR="00F14A8A" w:rsidRPr="00536B8D">
        <w:t xml:space="preserve">MCAs </w:t>
      </w:r>
      <w:r w:rsidRPr="00536B8D">
        <w:t xml:space="preserve">which </w:t>
      </w:r>
      <w:r w:rsidR="00F14A8A" w:rsidRPr="00536B8D">
        <w:t xml:space="preserve">only cover a </w:t>
      </w:r>
      <w:r w:rsidR="0003459A" w:rsidRPr="00536B8D">
        <w:t xml:space="preserve">minority of the population. </w:t>
      </w:r>
      <w:r w:rsidR="002160B6" w:rsidRPr="00536B8D">
        <w:t>Even here, for most MCA’s the degree of true autonomy over local decision making is</w:t>
      </w:r>
      <w:r w:rsidR="00E91F82" w:rsidRPr="00536B8D">
        <w:t xml:space="preserve"> strongly </w:t>
      </w:r>
      <w:r w:rsidR="002160B6" w:rsidRPr="00536B8D">
        <w:t>limited by the need for central government approval of proposed economic growth plans/ local industrial strategies</w:t>
      </w:r>
      <w:r w:rsidR="00E91F82" w:rsidRPr="00536B8D">
        <w:t xml:space="preserve">. </w:t>
      </w:r>
      <w:r w:rsidRPr="00536B8D">
        <w:t>Going back to our over-arching point, institutions are key to joining up sectors with regions and places. It is the critical meso-level of governance and policy – in which industrial and regional policies are largely symbiotic – which the UK currently lacks. As such, UK governance is often either to</w:t>
      </w:r>
      <w:r w:rsidR="005F48D9">
        <w:t>o</w:t>
      </w:r>
      <w:r w:rsidRPr="00536B8D">
        <w:t xml:space="preserve"> large and distant, or too small and local, to be effective. </w:t>
      </w:r>
    </w:p>
    <w:p w14:paraId="2E2CE685" w14:textId="28DB39E7" w:rsidR="008023BE" w:rsidRPr="00536B8D" w:rsidRDefault="008023BE" w:rsidP="00A90BFF">
      <w:pPr>
        <w:jc w:val="both"/>
      </w:pPr>
      <w:r w:rsidRPr="00536B8D">
        <w:t xml:space="preserve">Most other successful economies (USA, Australia, Germany, Canada, Belgium, Austria, France, Switzerland Japan) have or are heavily upgrading meso-governance levels spanning populations of 3-5 million people. This allows for genuine local and bottom-up </w:t>
      </w:r>
      <w:proofErr w:type="gramStart"/>
      <w:r w:rsidRPr="00536B8D">
        <w:t>policy-making</w:t>
      </w:r>
      <w:proofErr w:type="gramEnd"/>
      <w:r w:rsidRPr="00536B8D">
        <w:t xml:space="preserve"> in conjunction with national top-down policy frameworks. The alternative model evident in many smaller economies (Sweden, Netherlands, Finland, Denmark) is that ostensibly centralised national governance systems are </w:t>
      </w:r>
      <w:proofErr w:type="gramStart"/>
      <w:r w:rsidRPr="00536B8D">
        <w:t>in reality very</w:t>
      </w:r>
      <w:proofErr w:type="gramEnd"/>
      <w:r w:rsidRPr="00536B8D">
        <w:t xml:space="preserve"> bottom-up in nature with local policy inputs being incorporated in national frameworks. The UK has until very recently had neither of these features. </w:t>
      </w:r>
    </w:p>
    <w:p w14:paraId="59977C99" w14:textId="080DA9CA" w:rsidR="002F4E34" w:rsidRPr="00536B8D" w:rsidRDefault="002F4E34" w:rsidP="00A90BFF">
      <w:pPr>
        <w:jc w:val="both"/>
      </w:pPr>
      <w:r w:rsidRPr="00536B8D">
        <w:t>A focus on devolution and empowering local leaders in other regions to shape industrial policies, tailored to their specific needs is a step in the right direction - if it goes far enough. To ensure effective oversight, local industrial strategy councils – with representatives from business, unions, and local universities – could be established to advise and monitor progress</w:t>
      </w:r>
      <w:r w:rsidR="002C7124" w:rsidRPr="00536B8D">
        <w:t xml:space="preserve"> (see also, Fai &amp; Tomlinson 2019)</w:t>
      </w:r>
      <w:r w:rsidRPr="00536B8D">
        <w:t xml:space="preserve">. </w:t>
      </w:r>
    </w:p>
    <w:p w14:paraId="48BCD6EE" w14:textId="691B95BB" w:rsidR="006172A7" w:rsidRPr="00536B8D" w:rsidRDefault="006172A7" w:rsidP="00A90BFF">
      <w:pPr>
        <w:jc w:val="both"/>
      </w:pPr>
      <w:r w:rsidRPr="00536B8D">
        <w:t xml:space="preserve">For a country like the UK with such large interregional inequalities over small distances and in which the core region is decoupling from the rest of the country, the only governance set-up which is worse than a top-down centralised and space-blind system, is a devolved system which is primarily dependent on local finances. Finding ways to encourage decentralisation and devolution </w:t>
      </w:r>
      <w:r w:rsidR="00511C46" w:rsidRPr="00536B8D">
        <w:t xml:space="preserve">in </w:t>
      </w:r>
      <w:r w:rsidR="001C0D9D" w:rsidRPr="00536B8D">
        <w:t xml:space="preserve">decision making </w:t>
      </w:r>
      <w:r w:rsidRPr="00536B8D">
        <w:t>(</w:t>
      </w:r>
      <w:proofErr w:type="gramStart"/>
      <w:r w:rsidRPr="00536B8D">
        <w:t>in order to</w:t>
      </w:r>
      <w:proofErr w:type="gramEnd"/>
      <w:r w:rsidRPr="00536B8D">
        <w:t xml:space="preserve"> foster local development incentives, accountability and engagement) without weakening the UK’s (already limited) interregional fiscal stabilisers, is a critical balancing act. </w:t>
      </w:r>
    </w:p>
    <w:p w14:paraId="7623D32D" w14:textId="0016B341" w:rsidR="00F51298" w:rsidRPr="00536B8D" w:rsidRDefault="006172A7" w:rsidP="00A90BFF">
      <w:pPr>
        <w:jc w:val="both"/>
      </w:pPr>
      <w:r w:rsidRPr="00536B8D">
        <w:lastRenderedPageBreak/>
        <w:t xml:space="preserve">The principles behind the design of new meso-level institutions are that they should foster and enhance local, city and regional leadership which links across institutions, stakeholders, and political affiliations. Building cross-party, cross-stakeholder and cross-institutional alignment is the most important role for local, city and regional leadership and this should be aimed long-term at maximising civic engagement. Some of this is already developing at the city-region level, but city-region types of set-ups are only realistic for a minority of UK localities. </w:t>
      </w:r>
    </w:p>
    <w:p w14:paraId="2981DD2D" w14:textId="77777777" w:rsidR="005F48D9" w:rsidRDefault="008D3EC2" w:rsidP="00F26726">
      <w:pPr>
        <w:jc w:val="both"/>
      </w:pPr>
      <w:r>
        <w:t>In summary, d</w:t>
      </w:r>
      <w:r w:rsidR="00B47277" w:rsidRPr="00536B8D">
        <w:t xml:space="preserve">espite different policies and institutional arrangements over the past 30 years from governments of various political persuasions, we observe that little substantive progress has been made in addressing the sub-national economy's two critical but interrelated problems. First, the UK (particularly England) is too fiscally and governmentally centralised. Second, the UK is spatially and </w:t>
      </w:r>
      <w:proofErr w:type="spellStart"/>
      <w:r w:rsidR="00B47277" w:rsidRPr="00536B8D">
        <w:t>sectorally</w:t>
      </w:r>
      <w:proofErr w:type="spellEnd"/>
      <w:r w:rsidR="00B47277" w:rsidRPr="00536B8D">
        <w:t xml:space="preserve"> imbalanced. </w:t>
      </w:r>
      <w:r w:rsidR="00C73C2F" w:rsidRPr="00536B8D">
        <w:t xml:space="preserve">We suggest that there are </w:t>
      </w:r>
      <w:r w:rsidR="00B47277" w:rsidRPr="00536B8D">
        <w:t xml:space="preserve">three key tests </w:t>
      </w:r>
      <w:r w:rsidR="00C73C2F" w:rsidRPr="00536B8D">
        <w:t>for</w:t>
      </w:r>
      <w:r w:rsidR="00B47277" w:rsidRPr="00536B8D">
        <w:t xml:space="preserve"> new Labour Government </w:t>
      </w:r>
      <w:r w:rsidR="00C73C2F" w:rsidRPr="00536B8D">
        <w:t>in terms of industrial strategy</w:t>
      </w:r>
      <w:r w:rsidR="005F48D9">
        <w:t>:</w:t>
      </w:r>
    </w:p>
    <w:p w14:paraId="76A95A46" w14:textId="5296429D" w:rsidR="005F48D9" w:rsidRDefault="005F48D9" w:rsidP="005F48D9">
      <w:pPr>
        <w:pStyle w:val="ListParagraph"/>
        <w:numPr>
          <w:ilvl w:val="0"/>
          <w:numId w:val="4"/>
        </w:numPr>
        <w:jc w:val="both"/>
      </w:pPr>
      <w:r>
        <w:t>The</w:t>
      </w:r>
      <w:r w:rsidR="00B47277" w:rsidRPr="00536B8D">
        <w:t xml:space="preserve"> first relates to the base of ideas underpinning sub-national economic policy. Despite political differences between Labour, Coalition and Conservative governments since 1997 and shifts in the underlying base of economic ideas, the broad approach has remained essentially neo-classical and place-neutral in practice. There is an urgent need to move beyond this framework to adopt a practical place-based approach. </w:t>
      </w:r>
    </w:p>
    <w:p w14:paraId="64B1DA04" w14:textId="77777777" w:rsidR="005F48D9" w:rsidRDefault="00B47277" w:rsidP="005F48D9">
      <w:pPr>
        <w:pStyle w:val="ListParagraph"/>
        <w:numPr>
          <w:ilvl w:val="0"/>
          <w:numId w:val="4"/>
        </w:numPr>
        <w:jc w:val="both"/>
      </w:pPr>
      <w:r w:rsidRPr="00536B8D">
        <w:t>Second, despite consistent rhetoric from all governments about the importance of devolution, little progress has been made in England, and the dominant model remains essentially ‘conditional localism’ in the absence of effective devolution</w:t>
      </w:r>
      <w:proofErr w:type="gramStart"/>
      <w:r w:rsidRPr="00536B8D">
        <w:t xml:space="preserve">.  </w:t>
      </w:r>
      <w:proofErr w:type="gramEnd"/>
      <w:r w:rsidRPr="00536B8D">
        <w:t xml:space="preserve">This looks set to continue. </w:t>
      </w:r>
    </w:p>
    <w:p w14:paraId="2176D0D8" w14:textId="69866A88" w:rsidR="00C73C2F" w:rsidRDefault="00B47277" w:rsidP="005F48D9">
      <w:pPr>
        <w:pStyle w:val="ListParagraph"/>
        <w:numPr>
          <w:ilvl w:val="0"/>
          <w:numId w:val="4"/>
        </w:numPr>
        <w:jc w:val="both"/>
      </w:pPr>
      <w:r w:rsidRPr="00536B8D">
        <w:t>Third, there is the over-riding need to develop a long-term industrial strategy that brings together technology, sectors and place, and fills the ‘missing middle’ in regional and industrial policy in England</w:t>
      </w:r>
      <w:r w:rsidR="00C73C2F" w:rsidRPr="00536B8D">
        <w:t xml:space="preserve"> (Bailey and Hildreth, 2023)</w:t>
      </w:r>
      <w:r w:rsidRPr="00536B8D">
        <w:t>.</w:t>
      </w:r>
    </w:p>
    <w:p w14:paraId="7BC280F0" w14:textId="77777777" w:rsidR="005F48D9" w:rsidRDefault="005F48D9" w:rsidP="005F48D9">
      <w:pPr>
        <w:pStyle w:val="ListParagraph"/>
        <w:jc w:val="both"/>
      </w:pPr>
    </w:p>
    <w:p w14:paraId="5A699AB5" w14:textId="77777777" w:rsidR="00853534" w:rsidRPr="00536B8D" w:rsidRDefault="00853534" w:rsidP="005F48D9">
      <w:pPr>
        <w:pStyle w:val="ListParagraph"/>
        <w:jc w:val="both"/>
      </w:pPr>
    </w:p>
    <w:p w14:paraId="30910BC6" w14:textId="77777777" w:rsidR="00903C95" w:rsidRPr="00536B8D" w:rsidRDefault="0072766E" w:rsidP="007A3782">
      <w:pPr>
        <w:rPr>
          <w:b/>
          <w:bCs/>
        </w:rPr>
      </w:pPr>
      <w:r w:rsidRPr="00536B8D">
        <w:rPr>
          <w:b/>
          <w:bCs/>
        </w:rPr>
        <w:t>Partnerships and Institutions</w:t>
      </w:r>
    </w:p>
    <w:p w14:paraId="477D8811" w14:textId="26A00E18" w:rsidR="00903C95" w:rsidRPr="00240327" w:rsidRDefault="0072766E" w:rsidP="00240327">
      <w:pPr>
        <w:pStyle w:val="ListParagraph"/>
        <w:numPr>
          <w:ilvl w:val="0"/>
          <w:numId w:val="12"/>
        </w:numPr>
        <w:rPr>
          <w:i/>
          <w:iCs/>
        </w:rPr>
      </w:pPr>
      <w:r w:rsidRPr="00240327">
        <w:rPr>
          <w:i/>
          <w:iCs/>
        </w:rPr>
        <w:t xml:space="preserve">How can the Industrial Strategy Council best support the UK government to deliver and monitor the Industrial Strategy? </w:t>
      </w:r>
    </w:p>
    <w:p w14:paraId="35D9C58D" w14:textId="77777777" w:rsidR="00903C95" w:rsidRPr="00A90BFF" w:rsidRDefault="0072766E" w:rsidP="00240327">
      <w:pPr>
        <w:numPr>
          <w:ilvl w:val="0"/>
          <w:numId w:val="12"/>
        </w:numPr>
        <w:rPr>
          <w:i/>
          <w:iCs/>
        </w:rPr>
      </w:pPr>
      <w:r w:rsidRPr="00A90BFF">
        <w:rPr>
          <w:i/>
          <w:iCs/>
        </w:rPr>
        <w:t>How should the Industrial Strategy Council interact with key non-government institutions and organisations</w:t>
      </w:r>
      <w:proofErr w:type="gramStart"/>
      <w:r w:rsidRPr="00A90BFF">
        <w:rPr>
          <w:i/>
          <w:iCs/>
        </w:rPr>
        <w:t xml:space="preserve">?  </w:t>
      </w:r>
      <w:proofErr w:type="gramEnd"/>
    </w:p>
    <w:p w14:paraId="5933E3C3" w14:textId="60B0CA88" w:rsidR="00A81D33" w:rsidRPr="00A90BFF" w:rsidRDefault="0072766E" w:rsidP="00240327">
      <w:pPr>
        <w:numPr>
          <w:ilvl w:val="0"/>
          <w:numId w:val="12"/>
        </w:numPr>
        <w:rPr>
          <w:i/>
          <w:iCs/>
        </w:rPr>
      </w:pPr>
      <w:r w:rsidRPr="00A90BFF">
        <w:rPr>
          <w:i/>
          <w:iCs/>
        </w:rPr>
        <w:t>How can we improve the interface between the Industrial Strategy Council and government, business, local leaders and trade unions?</w:t>
      </w:r>
    </w:p>
    <w:p w14:paraId="0C063E1D" w14:textId="01BA5B88" w:rsidR="00A81D33" w:rsidRPr="00536B8D" w:rsidRDefault="00A90BFF" w:rsidP="00A90BFF">
      <w:pPr>
        <w:jc w:val="both"/>
      </w:pPr>
      <w:r w:rsidRPr="003A15A3">
        <w:rPr>
          <w:b/>
          <w:bCs/>
          <w:i/>
          <w:iCs/>
        </w:rPr>
        <w:lastRenderedPageBreak/>
        <w:t>Response:</w:t>
      </w:r>
      <w:r>
        <w:t xml:space="preserve">  </w:t>
      </w:r>
      <w:r w:rsidR="00746E89" w:rsidRPr="00536B8D">
        <w:t xml:space="preserve">See Response to Point 28, especially our suggestion of </w:t>
      </w:r>
      <w:r w:rsidR="00A81D33" w:rsidRPr="00536B8D">
        <w:t>local industrial strategy councils – with representatives from business, unions and local universities –</w:t>
      </w:r>
      <w:r w:rsidR="00135EE5" w:rsidRPr="00536B8D">
        <w:t xml:space="preserve"> </w:t>
      </w:r>
      <w:r w:rsidR="00A81D33" w:rsidRPr="00536B8D">
        <w:t>to advise and monitor progress</w:t>
      </w:r>
      <w:r w:rsidR="00135EE5" w:rsidRPr="00536B8D">
        <w:t xml:space="preserve">, at the local level. </w:t>
      </w:r>
    </w:p>
    <w:p w14:paraId="53F930D2" w14:textId="77777777" w:rsidR="003D0B2A" w:rsidRPr="00536B8D" w:rsidRDefault="003D0B2A" w:rsidP="00A90BFF">
      <w:pPr>
        <w:jc w:val="both"/>
      </w:pPr>
      <w:r w:rsidRPr="00536B8D">
        <w:t>The proposal for an Industrial Strategy Council set up on statutory footing to oversee the strategy is a welcome move but needs much more detail if it is to be on a comparable footing to say the Office for Budget Responsibility.</w:t>
      </w:r>
    </w:p>
    <w:p w14:paraId="57561B8A" w14:textId="4856BC2A" w:rsidR="003D0B2A" w:rsidRPr="00536B8D" w:rsidRDefault="003D0B2A" w:rsidP="00A90BFF">
      <w:pPr>
        <w:jc w:val="both"/>
      </w:pPr>
      <w:r w:rsidRPr="00536B8D">
        <w:t>The Council could offer a degree of external oversight, and potentially hardwire the idea of industrial strategy as a partnership between the state and business. This isn’t meant to be a top-down, ‘picking winners’ approach but rather a collaborative effort to discover new opportunities and challenges and to develop new policies accordingly.</w:t>
      </w:r>
    </w:p>
    <w:p w14:paraId="36D73FF0" w14:textId="0F8200E5" w:rsidR="00904B7C" w:rsidRPr="00536B8D" w:rsidRDefault="00904B7C" w:rsidP="00A90BFF">
      <w:pPr>
        <w:jc w:val="both"/>
      </w:pPr>
      <w:r w:rsidRPr="00536B8D">
        <w:t xml:space="preserve">In a ‘place-based’ approach, policy has a positive role in stimulating new knowledge and ideas through interactions between local groups (endogenously) and external actors (exogenously). Yet such knowledge is uncertain, is embedded in localities and needs to be uncovered through participatory and bottom-up processes to build consensus and trust. But it is exactly the national state’s lack both an understanding and knowledge of local places (it lacks a ‘sense of communities’) that creates weakness in its capacity to adapt its approach towards local places and mediate local consensus and trust between local actors as well as to mobilise local resources effectively. </w:t>
      </w:r>
    </w:p>
    <w:p w14:paraId="7ABC9FDE" w14:textId="08D656D6" w:rsidR="00904B7C" w:rsidRPr="00536B8D" w:rsidRDefault="00904B7C" w:rsidP="00A90BFF">
      <w:pPr>
        <w:jc w:val="both"/>
      </w:pPr>
      <w:r w:rsidRPr="00536B8D">
        <w:t xml:space="preserve">This place-based approach has strong parallels with Rodrik’s (2004, 2008) perspective of industrial strategy as a process of discovery requiring strategic collaboration between the private sector and state in unlocking growth </w:t>
      </w:r>
      <w:r w:rsidR="00F77FDB" w:rsidRPr="00536B8D">
        <w:t>opportunities but</w:t>
      </w:r>
      <w:r w:rsidRPr="00536B8D">
        <w:t xml:space="preserve"> set within a framework of multi-level governance </w:t>
      </w:r>
      <w:proofErr w:type="gramStart"/>
      <w:r w:rsidRPr="00536B8D">
        <w:t>so as to</w:t>
      </w:r>
      <w:proofErr w:type="gramEnd"/>
      <w:r w:rsidRPr="00536B8D">
        <w:t xml:space="preserve"> enable a process of local collaboration and discovery, while enabling external challenge to local elites engaging in rent-seeking behaviour. So industrial and regional policies which facilitate this process of discovery through strategic collaboration are seen as relevant under place-based perspectives and require appropriate institutions to engender this</w:t>
      </w:r>
      <w:proofErr w:type="gramStart"/>
      <w:r w:rsidRPr="00536B8D">
        <w:t xml:space="preserve">.  </w:t>
      </w:r>
      <w:proofErr w:type="gramEnd"/>
    </w:p>
    <w:p w14:paraId="314E0501" w14:textId="7BBE2DFC" w:rsidR="00904B7C" w:rsidRPr="00536B8D" w:rsidRDefault="00904B7C" w:rsidP="00A90BFF">
      <w:pPr>
        <w:jc w:val="both"/>
      </w:pPr>
      <w:r w:rsidRPr="00536B8D">
        <w:t>In fact, this is largely how modern, intelligent industrial strategy is conceived of in contemporary debates</w:t>
      </w:r>
      <w:r w:rsidR="005F48D9">
        <w:t xml:space="preserve">. Here, </w:t>
      </w:r>
      <w:r w:rsidRPr="00536B8D">
        <w:t>industrial policy focuses on the discovery process, with firms and the state learning about underlying costs and opportunities and engag</w:t>
      </w:r>
      <w:r w:rsidR="00457CFF">
        <w:t>ing</w:t>
      </w:r>
      <w:r w:rsidRPr="00536B8D">
        <w:t xml:space="preserve"> in strategic coordination</w:t>
      </w:r>
      <w:proofErr w:type="gramStart"/>
      <w:r w:rsidRPr="00536B8D">
        <w:t xml:space="preserve">.  </w:t>
      </w:r>
      <w:proofErr w:type="gramEnd"/>
      <w:r w:rsidRPr="00536B8D">
        <w:t xml:space="preserve">In this regard, there is an institutional and capacity failure in the English context inherent at the national level in terms of the lack of resources to design industrial strategy interventions, although the creation of an independent Industrial Strategy Commission under Labour may assist in solving this issue. </w:t>
      </w:r>
    </w:p>
    <w:p w14:paraId="5CA6DF68" w14:textId="099BB629" w:rsidR="008D3EC2" w:rsidRPr="00A90BFF" w:rsidRDefault="00904B7C" w:rsidP="00A90BFF">
      <w:pPr>
        <w:jc w:val="both"/>
      </w:pPr>
      <w:r w:rsidRPr="00536B8D">
        <w:t xml:space="preserve">In this sense, given the lack of resources at a </w:t>
      </w:r>
      <w:r w:rsidR="00F77FDB" w:rsidRPr="00536B8D">
        <w:t>national level</w:t>
      </w:r>
      <w:r w:rsidRPr="00536B8D">
        <w:t xml:space="preserve"> to develop such </w:t>
      </w:r>
      <w:r w:rsidR="00F77FDB" w:rsidRPr="00536B8D">
        <w:t>policies and</w:t>
      </w:r>
      <w:r w:rsidRPr="00536B8D">
        <w:t xml:space="preserve"> given the capacity constraints of many Combined Authorities outside of major cities, there is a role for an intermediate tier in bringing ‘place’ and ‘sectors’ together in terms of industrial and regional policy development. Filling this ‘missing space’ requires </w:t>
      </w:r>
      <w:r w:rsidR="00F77FDB" w:rsidRPr="00536B8D">
        <w:t>regionally based</w:t>
      </w:r>
      <w:r w:rsidRPr="00536B8D">
        <w:t xml:space="preserve"> actors and industrial development strategies. Rather than ‘starting from scratch’ </w:t>
      </w:r>
      <w:r w:rsidRPr="00536B8D">
        <w:lastRenderedPageBreak/>
        <w:t>or applying ‘one size fits all policies</w:t>
      </w:r>
      <w:proofErr w:type="gramStart"/>
      <w:r w:rsidRPr="00536B8D">
        <w:t>’,</w:t>
      </w:r>
      <w:proofErr w:type="gramEnd"/>
      <w:r w:rsidRPr="00536B8D">
        <w:t xml:space="preserve"> regional industrial strategies require tailor-made policy actions embedded in and linked to the specific needs and available resources of regions, starting with the existing knowledge and institutional base in that region.  These need to capitalise on region-specific assets, rather than attempting to replicate and apply policies that may have worked in quite different places (Bailey and Hildreth, 2024).</w:t>
      </w:r>
    </w:p>
    <w:p w14:paraId="5C47DD71" w14:textId="77777777" w:rsidR="00193B28" w:rsidRPr="00536B8D" w:rsidRDefault="00193B28" w:rsidP="007A3782"/>
    <w:p w14:paraId="49669542" w14:textId="77777777" w:rsidR="00903C95" w:rsidRPr="00536B8D" w:rsidRDefault="0072766E" w:rsidP="007A3782">
      <w:pPr>
        <w:rPr>
          <w:b/>
          <w:bCs/>
        </w:rPr>
      </w:pPr>
      <w:r w:rsidRPr="00536B8D">
        <w:rPr>
          <w:b/>
          <w:bCs/>
        </w:rPr>
        <w:t>Additional Information</w:t>
      </w:r>
    </w:p>
    <w:p w14:paraId="7F6FF15F" w14:textId="47657F04" w:rsidR="008D3EC2" w:rsidRPr="00240327" w:rsidRDefault="0072766E" w:rsidP="00240327">
      <w:pPr>
        <w:pStyle w:val="ListParagraph"/>
        <w:numPr>
          <w:ilvl w:val="0"/>
          <w:numId w:val="13"/>
        </w:numPr>
        <w:rPr>
          <w:i/>
          <w:iCs/>
        </w:rPr>
      </w:pPr>
      <w:r w:rsidRPr="00240327">
        <w:rPr>
          <w:i/>
          <w:iCs/>
        </w:rPr>
        <w:t>Is there any additional information you would like to provide?</w:t>
      </w:r>
    </w:p>
    <w:p w14:paraId="57D85F45" w14:textId="7056FC13" w:rsidR="00904B7C" w:rsidRPr="00536B8D" w:rsidRDefault="00A90BFF" w:rsidP="00A90BFF">
      <w:pPr>
        <w:jc w:val="both"/>
      </w:pPr>
      <w:r w:rsidRPr="003A15A3">
        <w:rPr>
          <w:b/>
          <w:bCs/>
          <w:i/>
          <w:iCs/>
        </w:rPr>
        <w:t>Response:</w:t>
      </w:r>
      <w:r>
        <w:t xml:space="preserve">  </w:t>
      </w:r>
      <w:r w:rsidR="00904B7C" w:rsidRPr="00536B8D">
        <w:t>A major concern is the lack of detail as to how the strategy will be funded. Many of the policies outlined, such as investing in infrastructure, boosting R&amp;D, and supporting regional growth, require a substantial financial commitment. However, the Green Paper does not provide much detail on where the funding will come from or how much will be available. In fact, the National Wealth Fund has been cut by a fifth, even as it is being used to revamp the UK Investment Bank. Without clear financial backing, there is a risk that the proposals remain aspirational rather than actionable.</w:t>
      </w:r>
    </w:p>
    <w:p w14:paraId="581E054A" w14:textId="45FE4311" w:rsidR="00193B28" w:rsidRPr="00536B8D" w:rsidRDefault="00904B7C" w:rsidP="00A90BFF">
      <w:pPr>
        <w:jc w:val="both"/>
      </w:pPr>
      <w:r w:rsidRPr="00536B8D">
        <w:t>O</w:t>
      </w:r>
      <w:r w:rsidR="00193B28" w:rsidRPr="00536B8D">
        <w:t>verall, the new Green Paper is a welcome forward-looking document that seeks to position the UK for the future in terms of innovation, infrastructure, and clean energy. Its focus on regional development, technological advancement, and sustainability is commendable and much needed in the face of growing global and domestic challenges.</w:t>
      </w:r>
    </w:p>
    <w:p w14:paraId="5A81AFAD" w14:textId="18F0B784" w:rsidR="00903C95" w:rsidRPr="00536B8D" w:rsidRDefault="00193B28" w:rsidP="00A90BFF">
      <w:pPr>
        <w:jc w:val="both"/>
      </w:pPr>
      <w:r w:rsidRPr="00536B8D">
        <w:t>However, the success of this strategy will depend on its ability to translate ideas into concrete actions and on whether it addresses some of the deeper structural issues facing the economy, such as regional inequality, post-Brexit uncertainties, and the divide between high-skilled and low-skilled workers.</w:t>
      </w:r>
    </w:p>
    <w:p w14:paraId="3832059D" w14:textId="77777777" w:rsidR="009E7FE2" w:rsidRDefault="009E7FE2" w:rsidP="009E7FE2">
      <w:pPr>
        <w:spacing w:after="0" w:line="240" w:lineRule="auto"/>
        <w:jc w:val="both"/>
      </w:pPr>
    </w:p>
    <w:p w14:paraId="268DA52F" w14:textId="77777777" w:rsidR="009E7FE2" w:rsidRDefault="009E7FE2" w:rsidP="009E7FE2">
      <w:pPr>
        <w:spacing w:after="0" w:line="240" w:lineRule="auto"/>
        <w:jc w:val="both"/>
      </w:pPr>
    </w:p>
    <w:p w14:paraId="1515F249" w14:textId="720E382A" w:rsidR="00135EE5" w:rsidRPr="00536B8D" w:rsidRDefault="00135EE5" w:rsidP="009E7FE2">
      <w:pPr>
        <w:spacing w:after="0" w:line="240" w:lineRule="auto"/>
        <w:jc w:val="both"/>
        <w:rPr>
          <w:b/>
          <w:bCs/>
        </w:rPr>
      </w:pPr>
      <w:r w:rsidRPr="00536B8D">
        <w:rPr>
          <w:b/>
          <w:bCs/>
        </w:rPr>
        <w:t xml:space="preserve">References </w:t>
      </w:r>
    </w:p>
    <w:p w14:paraId="3C3D5B30" w14:textId="521378EA" w:rsidR="00903C95" w:rsidRPr="00536B8D" w:rsidRDefault="0072766E" w:rsidP="007A3782">
      <w:pPr>
        <w:pStyle w:val="Bibliography1"/>
        <w:rPr>
          <w:rFonts w:ascii="Arial" w:hAnsi="Arial" w:cs="Arial"/>
          <w:sz w:val="22"/>
          <w:szCs w:val="22"/>
        </w:rPr>
      </w:pPr>
      <w:bookmarkStart w:id="6" w:name="ZOTERO_BREF_kijao3JejkO7"/>
      <w:r w:rsidRPr="00536B8D">
        <w:rPr>
          <w:rFonts w:ascii="Arial" w:hAnsi="Arial" w:cs="Arial"/>
          <w:sz w:val="22"/>
          <w:szCs w:val="22"/>
        </w:rPr>
        <w:t>Bailey, D., de Ruyter, A., Hearne, D., &amp; Ortega-</w:t>
      </w:r>
      <w:proofErr w:type="spellStart"/>
      <w:r w:rsidRPr="00536B8D">
        <w:rPr>
          <w:rFonts w:ascii="Arial" w:hAnsi="Arial" w:cs="Arial"/>
          <w:sz w:val="22"/>
          <w:szCs w:val="22"/>
        </w:rPr>
        <w:t>Argilés</w:t>
      </w:r>
      <w:proofErr w:type="spellEnd"/>
      <w:r w:rsidRPr="00536B8D">
        <w:rPr>
          <w:rFonts w:ascii="Arial" w:hAnsi="Arial" w:cs="Arial"/>
          <w:sz w:val="22"/>
          <w:szCs w:val="22"/>
        </w:rPr>
        <w:t xml:space="preserve">, R. (2022). Shocks, resilience and regional industry policy: Brexit and the automotive sector in two Midlands regions. </w:t>
      </w:r>
      <w:r w:rsidRPr="00536B8D">
        <w:rPr>
          <w:rFonts w:ascii="Arial" w:hAnsi="Arial" w:cs="Arial"/>
          <w:i/>
          <w:sz w:val="22"/>
          <w:szCs w:val="22"/>
        </w:rPr>
        <w:t>Regional Studies</w:t>
      </w:r>
      <w:r w:rsidRPr="00536B8D">
        <w:rPr>
          <w:rFonts w:ascii="Arial" w:hAnsi="Arial" w:cs="Arial"/>
          <w:sz w:val="22"/>
          <w:szCs w:val="22"/>
        </w:rPr>
        <w:t>, 1–15. https://doi.org/10.1080/00343404.2022.2071421</w:t>
      </w:r>
    </w:p>
    <w:p w14:paraId="521EAAEC" w14:textId="4318EF72" w:rsidR="00C04356" w:rsidRPr="00536B8D" w:rsidRDefault="00C04356" w:rsidP="007A3782">
      <w:pPr>
        <w:pStyle w:val="Bibliography1"/>
        <w:rPr>
          <w:rFonts w:ascii="Arial" w:hAnsi="Arial" w:cs="Arial"/>
          <w:sz w:val="22"/>
          <w:szCs w:val="22"/>
        </w:rPr>
      </w:pPr>
      <w:r w:rsidRPr="00536B8D">
        <w:rPr>
          <w:rFonts w:ascii="Arial" w:hAnsi="Arial" w:cs="Arial"/>
          <w:sz w:val="22"/>
          <w:szCs w:val="22"/>
        </w:rPr>
        <w:t xml:space="preserve">Bailey, D, L De </w:t>
      </w:r>
      <w:proofErr w:type="spellStart"/>
      <w:r w:rsidRPr="00536B8D">
        <w:rPr>
          <w:rFonts w:ascii="Arial" w:hAnsi="Arial" w:cs="Arial"/>
          <w:sz w:val="22"/>
          <w:szCs w:val="22"/>
        </w:rPr>
        <w:t>Propris</w:t>
      </w:r>
      <w:proofErr w:type="spellEnd"/>
      <w:r w:rsidRPr="00536B8D">
        <w:rPr>
          <w:rFonts w:ascii="Arial" w:hAnsi="Arial" w:cs="Arial"/>
          <w:sz w:val="22"/>
          <w:szCs w:val="22"/>
        </w:rPr>
        <w:t>, A De Ruyter, D Hearne, and R Ortega-</w:t>
      </w:r>
      <w:proofErr w:type="spellStart"/>
      <w:r w:rsidRPr="00536B8D">
        <w:rPr>
          <w:rFonts w:ascii="Arial" w:hAnsi="Arial" w:cs="Arial"/>
          <w:sz w:val="22"/>
          <w:szCs w:val="22"/>
        </w:rPr>
        <w:t>Argilés</w:t>
      </w:r>
      <w:proofErr w:type="spellEnd"/>
      <w:r w:rsidRPr="00536B8D">
        <w:rPr>
          <w:rFonts w:ascii="Arial" w:hAnsi="Arial" w:cs="Arial"/>
          <w:sz w:val="22"/>
          <w:szCs w:val="22"/>
        </w:rPr>
        <w:t xml:space="preserve"> (2023), “Brexit, trade and UK advanced manufacturing sectors: a Midlands’ perspective”, </w:t>
      </w:r>
      <w:r w:rsidRPr="00536B8D">
        <w:rPr>
          <w:rFonts w:ascii="Arial" w:hAnsi="Arial" w:cs="Arial"/>
          <w:i/>
          <w:iCs/>
          <w:sz w:val="22"/>
          <w:szCs w:val="22"/>
        </w:rPr>
        <w:t>Contemporary Social Science</w:t>
      </w:r>
      <w:r w:rsidRPr="00536B8D">
        <w:rPr>
          <w:rFonts w:ascii="Arial" w:hAnsi="Arial" w:cs="Arial"/>
          <w:sz w:val="22"/>
          <w:szCs w:val="22"/>
        </w:rPr>
        <w:t> 18(2): 250-265.</w:t>
      </w:r>
    </w:p>
    <w:p w14:paraId="4881F204" w14:textId="77777777" w:rsidR="00CF3775" w:rsidRPr="00536B8D" w:rsidRDefault="00CF3775" w:rsidP="007A3782">
      <w:pPr>
        <w:pStyle w:val="Bibliography1"/>
        <w:rPr>
          <w:rFonts w:ascii="Arial" w:hAnsi="Arial" w:cs="Arial"/>
          <w:sz w:val="22"/>
          <w:szCs w:val="22"/>
        </w:rPr>
      </w:pPr>
      <w:r w:rsidRPr="00536B8D">
        <w:rPr>
          <w:rFonts w:ascii="Arial" w:hAnsi="Arial" w:cs="Arial"/>
          <w:sz w:val="22"/>
          <w:szCs w:val="22"/>
        </w:rPr>
        <w:lastRenderedPageBreak/>
        <w:t xml:space="preserve">Bailey, D and De </w:t>
      </w:r>
      <w:proofErr w:type="spellStart"/>
      <w:r w:rsidRPr="00536B8D">
        <w:rPr>
          <w:rFonts w:ascii="Arial" w:hAnsi="Arial" w:cs="Arial"/>
          <w:sz w:val="22"/>
          <w:szCs w:val="22"/>
        </w:rPr>
        <w:t>Propris</w:t>
      </w:r>
      <w:proofErr w:type="spellEnd"/>
      <w:r w:rsidRPr="00536B8D">
        <w:rPr>
          <w:rFonts w:ascii="Arial" w:hAnsi="Arial" w:cs="Arial"/>
          <w:sz w:val="22"/>
          <w:szCs w:val="22"/>
        </w:rPr>
        <w:t xml:space="preserve">, P (2014) Manufacturing Reshoring and its Limits: the UK Automotive Case, </w:t>
      </w:r>
      <w:r w:rsidRPr="00536B8D">
        <w:rPr>
          <w:rFonts w:ascii="Arial" w:hAnsi="Arial" w:cs="Arial"/>
          <w:i/>
          <w:sz w:val="22"/>
          <w:szCs w:val="22"/>
        </w:rPr>
        <w:t>Cambridge Journal of Regions, Economy and Society</w:t>
      </w:r>
      <w:r w:rsidRPr="00536B8D">
        <w:rPr>
          <w:rFonts w:ascii="Arial" w:hAnsi="Arial" w:cs="Arial"/>
          <w:sz w:val="22"/>
          <w:szCs w:val="22"/>
        </w:rPr>
        <w:t>, 7(3), 379-398.</w:t>
      </w:r>
    </w:p>
    <w:p w14:paraId="5BE95050" w14:textId="7834D19D" w:rsidR="00C73C2F" w:rsidRPr="00536B8D" w:rsidRDefault="00C73C2F" w:rsidP="007A3782">
      <w:pPr>
        <w:pStyle w:val="Bibliography1"/>
        <w:rPr>
          <w:rFonts w:ascii="Arial" w:hAnsi="Arial" w:cs="Arial"/>
          <w:sz w:val="22"/>
          <w:szCs w:val="22"/>
        </w:rPr>
      </w:pPr>
      <w:r w:rsidRPr="00536B8D">
        <w:rPr>
          <w:rFonts w:ascii="Arial" w:hAnsi="Arial" w:cs="Arial"/>
          <w:sz w:val="22"/>
          <w:szCs w:val="22"/>
        </w:rPr>
        <w:t>Bailey, D and P Hildreth (2024) ‘Place, Devolution and Industrial Strategy. Three Key Tests for Labour</w:t>
      </w:r>
      <w:proofErr w:type="gramStart"/>
      <w:r w:rsidRPr="00536B8D">
        <w:rPr>
          <w:rFonts w:ascii="Arial" w:hAnsi="Arial" w:cs="Arial"/>
          <w:sz w:val="22"/>
          <w:szCs w:val="22"/>
        </w:rPr>
        <w:t>’,</w:t>
      </w:r>
      <w:proofErr w:type="gramEnd"/>
      <w:r w:rsidRPr="00536B8D">
        <w:rPr>
          <w:rFonts w:ascii="Arial" w:hAnsi="Arial" w:cs="Arial"/>
          <w:sz w:val="22"/>
          <w:szCs w:val="22"/>
        </w:rPr>
        <w:t xml:space="preserve"> Contemporary Social Science,</w:t>
      </w:r>
    </w:p>
    <w:p w14:paraId="18E00407" w14:textId="7294D0E4" w:rsidR="00903C95" w:rsidRPr="00536B8D" w:rsidRDefault="0072766E" w:rsidP="007A3782">
      <w:pPr>
        <w:pStyle w:val="Bibliography1"/>
        <w:rPr>
          <w:rFonts w:ascii="Arial" w:hAnsi="Arial" w:cs="Arial"/>
          <w:sz w:val="22"/>
          <w:szCs w:val="22"/>
        </w:rPr>
      </w:pPr>
      <w:r w:rsidRPr="00536B8D">
        <w:rPr>
          <w:rFonts w:ascii="Arial" w:hAnsi="Arial" w:cs="Arial"/>
          <w:sz w:val="22"/>
          <w:szCs w:val="22"/>
        </w:rPr>
        <w:t>Coffey, D., Thornley, C., &amp; Tomlinson, P. R. (2023). Industrial policy, productivity and place: London as a ‘role model’ and High Speed 2 (</w:t>
      </w:r>
      <w:proofErr w:type="spellStart"/>
      <w:r w:rsidRPr="00536B8D">
        <w:rPr>
          <w:rFonts w:ascii="Arial" w:hAnsi="Arial" w:cs="Arial"/>
          <w:sz w:val="22"/>
          <w:szCs w:val="22"/>
        </w:rPr>
        <w:t>HS2</w:t>
      </w:r>
      <w:proofErr w:type="spellEnd"/>
      <w:r w:rsidRPr="00536B8D">
        <w:rPr>
          <w:rFonts w:ascii="Arial" w:hAnsi="Arial" w:cs="Arial"/>
          <w:sz w:val="22"/>
          <w:szCs w:val="22"/>
        </w:rPr>
        <w:t xml:space="preserve">). </w:t>
      </w:r>
      <w:r w:rsidRPr="00536B8D">
        <w:rPr>
          <w:rFonts w:ascii="Arial" w:hAnsi="Arial" w:cs="Arial"/>
          <w:i/>
          <w:sz w:val="22"/>
          <w:szCs w:val="22"/>
        </w:rPr>
        <w:t>Regional Studies</w:t>
      </w:r>
      <w:r w:rsidRPr="00536B8D">
        <w:rPr>
          <w:rFonts w:ascii="Arial" w:hAnsi="Arial" w:cs="Arial"/>
          <w:sz w:val="22"/>
          <w:szCs w:val="22"/>
        </w:rPr>
        <w:t xml:space="preserve">, </w:t>
      </w:r>
      <w:r w:rsidRPr="00536B8D">
        <w:rPr>
          <w:rFonts w:ascii="Arial" w:hAnsi="Arial" w:cs="Arial"/>
          <w:i/>
          <w:sz w:val="22"/>
          <w:szCs w:val="22"/>
        </w:rPr>
        <w:t>57</w:t>
      </w:r>
      <w:r w:rsidRPr="00536B8D">
        <w:rPr>
          <w:rFonts w:ascii="Arial" w:hAnsi="Arial" w:cs="Arial"/>
          <w:sz w:val="22"/>
          <w:szCs w:val="22"/>
        </w:rPr>
        <w:t>(6), 1171–1183. https://doi.org/10.1080/00343404.2022.2110226</w:t>
      </w:r>
    </w:p>
    <w:p w14:paraId="65072DDF" w14:textId="77777777" w:rsidR="00903C95" w:rsidRPr="00536B8D" w:rsidRDefault="0072766E" w:rsidP="007A3782">
      <w:pPr>
        <w:pStyle w:val="Bibliography1"/>
        <w:rPr>
          <w:rFonts w:ascii="Arial" w:hAnsi="Arial" w:cs="Arial"/>
          <w:sz w:val="22"/>
          <w:szCs w:val="22"/>
        </w:rPr>
      </w:pPr>
      <w:r w:rsidRPr="00536B8D">
        <w:rPr>
          <w:rFonts w:ascii="Arial" w:hAnsi="Arial" w:cs="Arial"/>
          <w:sz w:val="22"/>
          <w:szCs w:val="22"/>
        </w:rPr>
        <w:t xml:space="preserve">Coyle, D., &amp; Mei, J.-C. (2023). Diagnosing the UK productivity slowdown: Which sectors matter and why? </w:t>
      </w:r>
      <w:proofErr w:type="spellStart"/>
      <w:r w:rsidRPr="00536B8D">
        <w:rPr>
          <w:rFonts w:ascii="Arial" w:hAnsi="Arial" w:cs="Arial"/>
          <w:i/>
          <w:sz w:val="22"/>
          <w:szCs w:val="22"/>
        </w:rPr>
        <w:t>Economica</w:t>
      </w:r>
      <w:proofErr w:type="spellEnd"/>
      <w:r w:rsidRPr="00536B8D">
        <w:rPr>
          <w:rFonts w:ascii="Arial" w:hAnsi="Arial" w:cs="Arial"/>
          <w:sz w:val="22"/>
          <w:szCs w:val="22"/>
        </w:rPr>
        <w:t xml:space="preserve">, </w:t>
      </w:r>
      <w:r w:rsidRPr="00536B8D">
        <w:rPr>
          <w:rFonts w:ascii="Arial" w:hAnsi="Arial" w:cs="Arial"/>
          <w:i/>
          <w:sz w:val="22"/>
          <w:szCs w:val="22"/>
        </w:rPr>
        <w:t>90</w:t>
      </w:r>
      <w:r w:rsidRPr="00536B8D">
        <w:rPr>
          <w:rFonts w:ascii="Arial" w:hAnsi="Arial" w:cs="Arial"/>
          <w:sz w:val="22"/>
          <w:szCs w:val="22"/>
        </w:rPr>
        <w:t>(359), 813–850.</w:t>
      </w:r>
    </w:p>
    <w:p w14:paraId="062D4612" w14:textId="2FDCF834" w:rsidR="00F718C7" w:rsidRPr="00536B8D" w:rsidRDefault="00F718C7" w:rsidP="007A3782">
      <w:pPr>
        <w:pStyle w:val="Bibliography1"/>
        <w:rPr>
          <w:rFonts w:ascii="Arial" w:hAnsi="Arial" w:cs="Arial"/>
          <w:sz w:val="22"/>
          <w:szCs w:val="22"/>
        </w:rPr>
      </w:pPr>
      <w:r w:rsidRPr="00536B8D">
        <w:rPr>
          <w:rFonts w:ascii="Arial" w:hAnsi="Arial" w:cs="Arial"/>
          <w:sz w:val="22"/>
          <w:szCs w:val="22"/>
          <w:lang w:val="it-IT"/>
        </w:rPr>
        <w:t xml:space="preserve">Bianchi, P., De Propris, L., &amp; Labory, S. (2024). </w:t>
      </w:r>
      <w:r w:rsidRPr="00536B8D">
        <w:rPr>
          <w:rFonts w:ascii="Arial" w:hAnsi="Arial" w:cs="Arial"/>
          <w:sz w:val="22"/>
          <w:szCs w:val="22"/>
        </w:rPr>
        <w:t>People-centred policies for a just transition (digital, green and skills). </w:t>
      </w:r>
      <w:r w:rsidRPr="00536B8D">
        <w:rPr>
          <w:rFonts w:ascii="Arial" w:hAnsi="Arial" w:cs="Arial"/>
          <w:i/>
          <w:iCs/>
          <w:sz w:val="22"/>
          <w:szCs w:val="22"/>
        </w:rPr>
        <w:t>Contemporary Social Science</w:t>
      </w:r>
      <w:r w:rsidRPr="00536B8D">
        <w:rPr>
          <w:rFonts w:ascii="Arial" w:hAnsi="Arial" w:cs="Arial"/>
          <w:sz w:val="22"/>
          <w:szCs w:val="22"/>
        </w:rPr>
        <w:t>, 1-21.</w:t>
      </w:r>
    </w:p>
    <w:p w14:paraId="6286DA60" w14:textId="4C0F2F99" w:rsidR="005F48D9" w:rsidRDefault="005F48D9" w:rsidP="007A3782">
      <w:pPr>
        <w:pStyle w:val="Bibliography1"/>
        <w:rPr>
          <w:rFonts w:ascii="Arial" w:hAnsi="Arial" w:cs="Arial"/>
          <w:sz w:val="22"/>
          <w:szCs w:val="22"/>
          <w:shd w:val="clear" w:color="auto" w:fill="FFFFFF"/>
        </w:rPr>
      </w:pPr>
      <w:r w:rsidRPr="005F48D9">
        <w:rPr>
          <w:rFonts w:ascii="Arial" w:hAnsi="Arial" w:cs="Arial"/>
          <w:sz w:val="22"/>
          <w:szCs w:val="22"/>
          <w:shd w:val="clear" w:color="auto" w:fill="FFFFFF"/>
        </w:rPr>
        <w:t xml:space="preserve">de Ruyter, A., Bentley, G., Hearne, D., Bailey, D., &amp; Nielsen, B. (2024). A ‘just transition’ for workers in the automotive sector? Survey evidence from the West Midlands. Contemporary Social Science, 19(1–3), 199–222. </w:t>
      </w:r>
      <w:hyperlink r:id="rId13" w:history="1">
        <w:r w:rsidRPr="00AD2F67">
          <w:rPr>
            <w:rStyle w:val="Hyperlink"/>
            <w:rFonts w:ascii="Arial" w:hAnsi="Arial" w:cs="Arial"/>
            <w:sz w:val="22"/>
            <w:szCs w:val="22"/>
            <w:shd w:val="clear" w:color="auto" w:fill="FFFFFF"/>
          </w:rPr>
          <w:t>https://doi.org/10.1080/21582041.2024.2353684</w:t>
        </w:r>
      </w:hyperlink>
    </w:p>
    <w:p w14:paraId="2941C225" w14:textId="4FB4B4BF" w:rsidR="007A3782" w:rsidRDefault="007A3782" w:rsidP="007A3782">
      <w:pPr>
        <w:pStyle w:val="Bibliography1"/>
        <w:rPr>
          <w:rFonts w:ascii="Arial" w:hAnsi="Arial" w:cs="Arial"/>
          <w:sz w:val="22"/>
          <w:szCs w:val="22"/>
          <w:shd w:val="clear" w:color="auto" w:fill="FFFFFF"/>
        </w:rPr>
      </w:pPr>
      <w:r w:rsidRPr="007A3782">
        <w:rPr>
          <w:rFonts w:ascii="Arial" w:hAnsi="Arial" w:cs="Arial"/>
          <w:sz w:val="22"/>
          <w:szCs w:val="22"/>
          <w:shd w:val="clear" w:color="auto" w:fill="FFFFFF"/>
        </w:rPr>
        <w:t xml:space="preserve">Dimos, C., Garcia-Lazaro, A., Carter, C., 2024. Revisiting productivity and innovation in the West of England. Analysis based on microdata. </w:t>
      </w:r>
      <w:proofErr w:type="spellStart"/>
      <w:r w:rsidRPr="007A3782">
        <w:rPr>
          <w:rFonts w:ascii="Arial" w:hAnsi="Arial" w:cs="Arial"/>
          <w:sz w:val="22"/>
          <w:szCs w:val="22"/>
          <w:shd w:val="clear" w:color="auto" w:fill="FFFFFF"/>
        </w:rPr>
        <w:t>IPR</w:t>
      </w:r>
      <w:proofErr w:type="spellEnd"/>
      <w:r w:rsidRPr="007A3782">
        <w:rPr>
          <w:rFonts w:ascii="Arial" w:hAnsi="Arial" w:cs="Arial"/>
          <w:sz w:val="22"/>
          <w:szCs w:val="22"/>
          <w:shd w:val="clear" w:color="auto" w:fill="FFFFFF"/>
        </w:rPr>
        <w:t xml:space="preserve"> Report, November 2024.</w:t>
      </w:r>
    </w:p>
    <w:p w14:paraId="67687570" w14:textId="336AF4E5" w:rsidR="00C04356" w:rsidRPr="00536B8D" w:rsidRDefault="00C04356" w:rsidP="007A3782">
      <w:pPr>
        <w:pStyle w:val="Bibliography1"/>
        <w:rPr>
          <w:rFonts w:ascii="Arial" w:hAnsi="Arial" w:cs="Arial"/>
          <w:sz w:val="22"/>
          <w:szCs w:val="22"/>
          <w:shd w:val="clear" w:color="auto" w:fill="FFFFFF"/>
        </w:rPr>
      </w:pPr>
      <w:r w:rsidRPr="00536B8D">
        <w:rPr>
          <w:rFonts w:ascii="Arial" w:hAnsi="Arial" w:cs="Arial"/>
          <w:sz w:val="22"/>
          <w:szCs w:val="22"/>
          <w:shd w:val="clear" w:color="auto" w:fill="FFFFFF"/>
        </w:rPr>
        <w:t xml:space="preserve">Du, J, E </w:t>
      </w:r>
      <w:proofErr w:type="spellStart"/>
      <w:r w:rsidRPr="00536B8D">
        <w:rPr>
          <w:rFonts w:ascii="Arial" w:hAnsi="Arial" w:cs="Arial"/>
          <w:sz w:val="22"/>
          <w:szCs w:val="22"/>
          <w:shd w:val="clear" w:color="auto" w:fill="FFFFFF"/>
        </w:rPr>
        <w:t>Satoglu</w:t>
      </w:r>
      <w:proofErr w:type="spellEnd"/>
      <w:r w:rsidRPr="00536B8D">
        <w:rPr>
          <w:rFonts w:ascii="Arial" w:hAnsi="Arial" w:cs="Arial"/>
          <w:sz w:val="22"/>
          <w:szCs w:val="22"/>
          <w:shd w:val="clear" w:color="auto" w:fill="FFFFFF"/>
        </w:rPr>
        <w:t xml:space="preserve"> and O </w:t>
      </w:r>
      <w:proofErr w:type="spellStart"/>
      <w:r w:rsidRPr="00536B8D">
        <w:rPr>
          <w:rFonts w:ascii="Arial" w:hAnsi="Arial" w:cs="Arial"/>
          <w:sz w:val="22"/>
          <w:szCs w:val="22"/>
          <w:shd w:val="clear" w:color="auto" w:fill="FFFFFF"/>
        </w:rPr>
        <w:t>Shepotylo</w:t>
      </w:r>
      <w:proofErr w:type="spellEnd"/>
      <w:r w:rsidRPr="00536B8D">
        <w:rPr>
          <w:rFonts w:ascii="Arial" w:hAnsi="Arial" w:cs="Arial"/>
          <w:sz w:val="22"/>
          <w:szCs w:val="22"/>
          <w:shd w:val="clear" w:color="auto" w:fill="FFFFFF"/>
        </w:rPr>
        <w:t xml:space="preserve"> (2023), “How did Brexit affect UK trade?”, </w:t>
      </w:r>
      <w:r w:rsidRPr="00536B8D">
        <w:rPr>
          <w:rFonts w:ascii="Arial" w:hAnsi="Arial" w:cs="Arial"/>
          <w:i/>
          <w:iCs/>
          <w:sz w:val="22"/>
          <w:szCs w:val="22"/>
          <w:shd w:val="clear" w:color="auto" w:fill="FFFFFF"/>
        </w:rPr>
        <w:t>Contemporary Social Science</w:t>
      </w:r>
      <w:r w:rsidRPr="00536B8D">
        <w:rPr>
          <w:rFonts w:ascii="Arial" w:hAnsi="Arial" w:cs="Arial"/>
          <w:sz w:val="22"/>
          <w:szCs w:val="22"/>
          <w:shd w:val="clear" w:color="auto" w:fill="FFFFFF"/>
        </w:rPr>
        <w:t> 18(2): 266-283. </w:t>
      </w:r>
    </w:p>
    <w:p w14:paraId="6DDC906F" w14:textId="755B4205" w:rsidR="002259E8" w:rsidRPr="00536B8D" w:rsidRDefault="002259E8" w:rsidP="007A3782">
      <w:pPr>
        <w:pStyle w:val="Bibliography1"/>
        <w:rPr>
          <w:rFonts w:ascii="Arial" w:hAnsi="Arial" w:cs="Arial"/>
          <w:sz w:val="22"/>
          <w:szCs w:val="22"/>
          <w:shd w:val="clear" w:color="auto" w:fill="FFFFFF"/>
        </w:rPr>
      </w:pPr>
      <w:r w:rsidRPr="00536B8D">
        <w:rPr>
          <w:rFonts w:ascii="Arial" w:hAnsi="Arial" w:cs="Arial"/>
          <w:sz w:val="22"/>
          <w:szCs w:val="22"/>
          <w:shd w:val="clear" w:color="auto" w:fill="FFFFFF"/>
        </w:rPr>
        <w:t xml:space="preserve">Fai, </w:t>
      </w:r>
      <w:proofErr w:type="spellStart"/>
      <w:r w:rsidRPr="00536B8D">
        <w:rPr>
          <w:rFonts w:ascii="Arial" w:hAnsi="Arial" w:cs="Arial"/>
          <w:sz w:val="22"/>
          <w:szCs w:val="22"/>
          <w:shd w:val="clear" w:color="auto" w:fill="FFFFFF"/>
        </w:rPr>
        <w:t>F.M</w:t>
      </w:r>
      <w:proofErr w:type="spellEnd"/>
      <w:r w:rsidRPr="00536B8D">
        <w:rPr>
          <w:rFonts w:ascii="Arial" w:hAnsi="Arial" w:cs="Arial"/>
          <w:sz w:val="22"/>
          <w:szCs w:val="22"/>
          <w:shd w:val="clear" w:color="auto" w:fill="FFFFFF"/>
        </w:rPr>
        <w:t xml:space="preserve">, &amp; Tomlinson, P. R. (2019). Developing a Place-Based Industrial Strategy: the case of England’s </w:t>
      </w:r>
      <w:proofErr w:type="spellStart"/>
      <w:r w:rsidRPr="00536B8D">
        <w:rPr>
          <w:rFonts w:ascii="Arial" w:hAnsi="Arial" w:cs="Arial"/>
          <w:sz w:val="22"/>
          <w:szCs w:val="22"/>
          <w:shd w:val="clear" w:color="auto" w:fill="FFFFFF"/>
        </w:rPr>
        <w:t>LEPs</w:t>
      </w:r>
      <w:proofErr w:type="spellEnd"/>
      <w:r w:rsidRPr="00536B8D">
        <w:rPr>
          <w:rFonts w:ascii="Arial" w:hAnsi="Arial" w:cs="Arial"/>
          <w:sz w:val="22"/>
          <w:szCs w:val="22"/>
          <w:shd w:val="clear" w:color="auto" w:fill="FFFFFF"/>
        </w:rPr>
        <w:t xml:space="preserve">. </w:t>
      </w:r>
      <w:proofErr w:type="spellStart"/>
      <w:r w:rsidRPr="00536B8D">
        <w:rPr>
          <w:rFonts w:ascii="Arial" w:hAnsi="Arial" w:cs="Arial"/>
          <w:sz w:val="22"/>
          <w:szCs w:val="22"/>
          <w:shd w:val="clear" w:color="auto" w:fill="FFFFFF"/>
        </w:rPr>
        <w:t>L'Industria</w:t>
      </w:r>
      <w:proofErr w:type="spellEnd"/>
      <w:r w:rsidRPr="00536B8D">
        <w:rPr>
          <w:rFonts w:ascii="Arial" w:hAnsi="Arial" w:cs="Arial"/>
          <w:sz w:val="22"/>
          <w:szCs w:val="22"/>
          <w:shd w:val="clear" w:color="auto" w:fill="FFFFFF"/>
        </w:rPr>
        <w:t xml:space="preserve">, 4, 737-760. doi.org/10.1430/95939 </w:t>
      </w:r>
    </w:p>
    <w:p w14:paraId="6672E47C" w14:textId="0F7DF2E9" w:rsidR="00670BFB" w:rsidRPr="00536B8D" w:rsidRDefault="00670BFB" w:rsidP="007A3782">
      <w:pPr>
        <w:pStyle w:val="Bibliography1"/>
        <w:rPr>
          <w:rFonts w:ascii="Arial" w:hAnsi="Arial" w:cs="Arial"/>
          <w:sz w:val="22"/>
          <w:szCs w:val="22"/>
          <w:shd w:val="clear" w:color="auto" w:fill="FFFFFF"/>
        </w:rPr>
      </w:pPr>
      <w:r w:rsidRPr="00536B8D">
        <w:rPr>
          <w:rFonts w:ascii="Arial" w:hAnsi="Arial" w:cs="Arial"/>
          <w:sz w:val="22"/>
          <w:szCs w:val="22"/>
          <w:shd w:val="clear" w:color="auto" w:fill="FFFFFF"/>
        </w:rPr>
        <w:t xml:space="preserve">Fai, F.M. &amp; Tomlinson, P.R. (2023) Levelling up or down? Addressing regional inequalities in the UK. </w:t>
      </w:r>
      <w:r w:rsidRPr="00536B8D">
        <w:rPr>
          <w:rFonts w:ascii="Arial" w:hAnsi="Arial" w:cs="Arial"/>
          <w:i/>
          <w:iCs/>
          <w:sz w:val="22"/>
          <w:szCs w:val="22"/>
          <w:shd w:val="clear" w:color="auto" w:fill="FFFFFF"/>
        </w:rPr>
        <w:t>Contemporary Social Science</w:t>
      </w:r>
      <w:r w:rsidRPr="00536B8D">
        <w:rPr>
          <w:rFonts w:ascii="Arial" w:hAnsi="Arial" w:cs="Arial"/>
          <w:sz w:val="22"/>
          <w:szCs w:val="22"/>
          <w:shd w:val="clear" w:color="auto" w:fill="FFFFFF"/>
        </w:rPr>
        <w:t xml:space="preserve">, 18(3-4), 285-297. </w:t>
      </w:r>
      <w:hyperlink r:id="rId14" w:history="1">
        <w:r w:rsidRPr="00536B8D">
          <w:rPr>
            <w:rStyle w:val="Hyperlink"/>
            <w:rFonts w:ascii="Arial" w:hAnsi="Arial" w:cs="Arial"/>
            <w:color w:val="auto"/>
            <w:sz w:val="22"/>
            <w:szCs w:val="22"/>
            <w:shd w:val="clear" w:color="auto" w:fill="FFFFFF"/>
          </w:rPr>
          <w:t>doi.org/10.1080/21582041.2023.2282161</w:t>
        </w:r>
      </w:hyperlink>
      <w:r w:rsidRPr="00536B8D">
        <w:rPr>
          <w:rFonts w:ascii="Arial" w:hAnsi="Arial" w:cs="Arial"/>
          <w:sz w:val="22"/>
          <w:szCs w:val="22"/>
          <w:shd w:val="clear" w:color="auto" w:fill="FFFFFF"/>
        </w:rPr>
        <w:t xml:space="preserve"> </w:t>
      </w:r>
    </w:p>
    <w:p w14:paraId="23429921" w14:textId="77777777" w:rsidR="00670BFB" w:rsidRPr="00536B8D" w:rsidRDefault="00670BFB" w:rsidP="007A3782">
      <w:pPr>
        <w:pStyle w:val="Bibliography1"/>
        <w:rPr>
          <w:rFonts w:ascii="Arial" w:hAnsi="Arial" w:cs="Arial"/>
          <w:sz w:val="22"/>
          <w:szCs w:val="22"/>
          <w:shd w:val="clear" w:color="auto" w:fill="FFFFFF"/>
        </w:rPr>
      </w:pPr>
    </w:p>
    <w:p w14:paraId="1A0A9DEC" w14:textId="291B9C29" w:rsidR="00530635" w:rsidRPr="00536B8D" w:rsidRDefault="00530635" w:rsidP="007A3782">
      <w:pPr>
        <w:pStyle w:val="Bibliography1"/>
        <w:rPr>
          <w:rFonts w:ascii="Arial" w:hAnsi="Arial" w:cs="Arial"/>
          <w:sz w:val="22"/>
          <w:szCs w:val="22"/>
        </w:rPr>
      </w:pPr>
      <w:r w:rsidRPr="00536B8D">
        <w:rPr>
          <w:rFonts w:ascii="Arial" w:hAnsi="Arial" w:cs="Arial"/>
          <w:sz w:val="22"/>
          <w:szCs w:val="22"/>
          <w:shd w:val="clear" w:color="auto" w:fill="FFFFFF"/>
        </w:rPr>
        <w:t>Hearne, D. (2021). Regional prices and real incomes in the UK. </w:t>
      </w:r>
      <w:r w:rsidRPr="00536B8D">
        <w:rPr>
          <w:rFonts w:ascii="Arial" w:hAnsi="Arial" w:cs="Arial"/>
          <w:i/>
          <w:iCs/>
          <w:sz w:val="22"/>
          <w:szCs w:val="22"/>
          <w:shd w:val="clear" w:color="auto" w:fill="FFFFFF"/>
        </w:rPr>
        <w:t>Regional Studies</w:t>
      </w:r>
      <w:r w:rsidRPr="00536B8D">
        <w:rPr>
          <w:rFonts w:ascii="Arial" w:hAnsi="Arial" w:cs="Arial"/>
          <w:sz w:val="22"/>
          <w:szCs w:val="22"/>
          <w:shd w:val="clear" w:color="auto" w:fill="FFFFFF"/>
        </w:rPr>
        <w:t xml:space="preserve">, 55(5), 951-961. </w:t>
      </w:r>
      <w:proofErr w:type="spellStart"/>
      <w:r w:rsidRPr="00536B8D">
        <w:rPr>
          <w:rFonts w:ascii="Arial" w:hAnsi="Arial" w:cs="Arial"/>
          <w:sz w:val="22"/>
          <w:szCs w:val="22"/>
          <w:shd w:val="clear" w:color="auto" w:fill="FFFFFF"/>
        </w:rPr>
        <w:t>doi:10.1080</w:t>
      </w:r>
      <w:proofErr w:type="spellEnd"/>
      <w:r w:rsidRPr="00536B8D">
        <w:rPr>
          <w:rFonts w:ascii="Arial" w:hAnsi="Arial" w:cs="Arial"/>
          <w:sz w:val="22"/>
          <w:szCs w:val="22"/>
          <w:shd w:val="clear" w:color="auto" w:fill="FFFFFF"/>
        </w:rPr>
        <w:t>/00343404.2020.1836340</w:t>
      </w:r>
    </w:p>
    <w:p w14:paraId="205F6A83" w14:textId="77777777" w:rsidR="00A87396" w:rsidRPr="00536B8D" w:rsidRDefault="00A87396" w:rsidP="007A3782">
      <w:pPr>
        <w:pStyle w:val="Bibliography1"/>
        <w:rPr>
          <w:rFonts w:ascii="Arial" w:hAnsi="Arial" w:cs="Arial"/>
          <w:sz w:val="22"/>
          <w:szCs w:val="22"/>
        </w:rPr>
      </w:pPr>
      <w:r w:rsidRPr="00536B8D">
        <w:rPr>
          <w:rFonts w:ascii="Arial" w:hAnsi="Arial" w:cs="Arial"/>
          <w:sz w:val="22"/>
          <w:szCs w:val="22"/>
        </w:rPr>
        <w:lastRenderedPageBreak/>
        <w:t xml:space="preserve">Hildreth, P. (2011). What is localism, and what implications do different models have for managing the local economy? Local Economy, 26(8), 702-714. </w:t>
      </w:r>
    </w:p>
    <w:p w14:paraId="58B710FB" w14:textId="6A74A8C2" w:rsidR="005F68D2" w:rsidRPr="00536B8D" w:rsidRDefault="005F68D2" w:rsidP="007A3782">
      <w:pPr>
        <w:pStyle w:val="Bibliography1"/>
        <w:rPr>
          <w:rFonts w:ascii="Arial" w:hAnsi="Arial" w:cs="Arial"/>
          <w:sz w:val="22"/>
          <w:szCs w:val="22"/>
        </w:rPr>
      </w:pPr>
      <w:r w:rsidRPr="00536B8D">
        <w:rPr>
          <w:rFonts w:ascii="Arial" w:hAnsi="Arial" w:cs="Arial"/>
          <w:sz w:val="22"/>
          <w:szCs w:val="22"/>
        </w:rPr>
        <w:t xml:space="preserve">Hoole, C., Collinson, S., &amp; Newman, J. (2023). England’s </w:t>
      </w:r>
      <w:proofErr w:type="spellStart"/>
      <w:r w:rsidRPr="00536B8D">
        <w:rPr>
          <w:rFonts w:ascii="Arial" w:hAnsi="Arial" w:cs="Arial"/>
          <w:sz w:val="22"/>
          <w:szCs w:val="22"/>
        </w:rPr>
        <w:t>catch-22</w:t>
      </w:r>
      <w:proofErr w:type="spellEnd"/>
      <w:r w:rsidRPr="00536B8D">
        <w:rPr>
          <w:rFonts w:ascii="Arial" w:hAnsi="Arial" w:cs="Arial"/>
          <w:sz w:val="22"/>
          <w:szCs w:val="22"/>
        </w:rPr>
        <w:t xml:space="preserve">: institutional limitations to achieving balanced growth through devolution. Contemporary Social Science, 18(3–4), 428–448. </w:t>
      </w:r>
      <w:hyperlink r:id="rId15" w:history="1">
        <w:r w:rsidRPr="00536B8D">
          <w:rPr>
            <w:rStyle w:val="Hyperlink"/>
            <w:rFonts w:ascii="Arial" w:hAnsi="Arial" w:cs="Arial"/>
            <w:color w:val="auto"/>
            <w:sz w:val="22"/>
            <w:szCs w:val="22"/>
          </w:rPr>
          <w:t>https://doi.org/10.1080/21582041.2023.2203122</w:t>
        </w:r>
      </w:hyperlink>
    </w:p>
    <w:p w14:paraId="09DD7710" w14:textId="570E3FEB" w:rsidR="001C7137" w:rsidRPr="00536B8D" w:rsidRDefault="001C7137" w:rsidP="007A3782">
      <w:pPr>
        <w:pStyle w:val="Bibliography1"/>
        <w:rPr>
          <w:rFonts w:ascii="Arial" w:hAnsi="Arial" w:cs="Arial"/>
          <w:sz w:val="22"/>
          <w:szCs w:val="22"/>
        </w:rPr>
      </w:pPr>
      <w:r w:rsidRPr="00536B8D">
        <w:rPr>
          <w:rFonts w:ascii="Arial" w:hAnsi="Arial" w:cs="Arial"/>
          <w:sz w:val="22"/>
          <w:szCs w:val="22"/>
        </w:rPr>
        <w:t xml:space="preserve">IPPR (2024) </w:t>
      </w:r>
      <w:r w:rsidRPr="00536B8D">
        <w:rPr>
          <w:rFonts w:ascii="Arial" w:hAnsi="Arial" w:cs="Arial"/>
          <w:i/>
          <w:iCs/>
          <w:sz w:val="22"/>
          <w:szCs w:val="22"/>
        </w:rPr>
        <w:t>Rock Bottom, low investment in the UK economy</w:t>
      </w:r>
      <w:r w:rsidRPr="00536B8D">
        <w:rPr>
          <w:rFonts w:ascii="Arial" w:hAnsi="Arial" w:cs="Arial"/>
          <w:sz w:val="22"/>
          <w:szCs w:val="22"/>
        </w:rPr>
        <w:t xml:space="preserve"> </w:t>
      </w:r>
      <w:hyperlink r:id="rId16" w:history="1">
        <w:r w:rsidRPr="00536B8D">
          <w:rPr>
            <w:rStyle w:val="Hyperlink"/>
            <w:rFonts w:ascii="Arial" w:hAnsi="Arial" w:cs="Arial"/>
            <w:color w:val="auto"/>
            <w:sz w:val="22"/>
            <w:szCs w:val="22"/>
          </w:rPr>
          <w:t>https://www.ippr.org/articles/rock-bottom</w:t>
        </w:r>
      </w:hyperlink>
      <w:r w:rsidRPr="00536B8D">
        <w:rPr>
          <w:rFonts w:ascii="Arial" w:hAnsi="Arial" w:cs="Arial"/>
          <w:sz w:val="22"/>
          <w:szCs w:val="22"/>
        </w:rPr>
        <w:t xml:space="preserve"> </w:t>
      </w:r>
    </w:p>
    <w:p w14:paraId="0FE0A388" w14:textId="533598AB" w:rsidR="00C84E9A" w:rsidRPr="00536B8D" w:rsidRDefault="00C84E9A" w:rsidP="007A3782">
      <w:r w:rsidRPr="00536B8D">
        <w:t xml:space="preserve">McCann, P., (2016), </w:t>
      </w:r>
      <w:r w:rsidRPr="00536B8D">
        <w:rPr>
          <w:i/>
        </w:rPr>
        <w:t>The UK Regional-National Economic Problem: Geography, Globalisation and Governance</w:t>
      </w:r>
      <w:r w:rsidRPr="00536B8D">
        <w:t>, 2016, Routledge, London.</w:t>
      </w:r>
    </w:p>
    <w:p w14:paraId="5F77C017" w14:textId="3ECE6AB6" w:rsidR="00903C95" w:rsidRPr="00536B8D" w:rsidRDefault="0072766E" w:rsidP="007A3782">
      <w:pPr>
        <w:pStyle w:val="Bibliography1"/>
        <w:rPr>
          <w:rFonts w:ascii="Arial" w:hAnsi="Arial" w:cs="Arial"/>
          <w:sz w:val="22"/>
          <w:szCs w:val="22"/>
        </w:rPr>
      </w:pPr>
      <w:r w:rsidRPr="00536B8D">
        <w:rPr>
          <w:rFonts w:ascii="Arial" w:hAnsi="Arial" w:cs="Arial"/>
          <w:sz w:val="22"/>
          <w:szCs w:val="22"/>
        </w:rPr>
        <w:t xml:space="preserve">Office for National Statistics,. (2024, November 15). </w:t>
      </w:r>
      <w:r w:rsidRPr="00536B8D">
        <w:rPr>
          <w:rFonts w:ascii="Arial" w:hAnsi="Arial" w:cs="Arial"/>
          <w:i/>
          <w:sz w:val="22"/>
          <w:szCs w:val="22"/>
        </w:rPr>
        <w:t>Output per hour worked by division, UK</w:t>
      </w:r>
      <w:r w:rsidRPr="00536B8D">
        <w:rPr>
          <w:rFonts w:ascii="Arial" w:hAnsi="Arial" w:cs="Arial"/>
          <w:sz w:val="22"/>
          <w:szCs w:val="22"/>
        </w:rPr>
        <w:t>. https://www.ons.gov.uk/employmentandlabourmarket/peopleinwork/labourproductivity/datasets/outputperhourworkedbydivisionuk</w:t>
      </w:r>
    </w:p>
    <w:p w14:paraId="286C3D41" w14:textId="6C34B9E6" w:rsidR="008D6B04" w:rsidRPr="00536B8D" w:rsidRDefault="008D6B04" w:rsidP="007A3782">
      <w:pPr>
        <w:pStyle w:val="Bibliography1"/>
        <w:rPr>
          <w:rFonts w:ascii="Arial" w:hAnsi="Arial" w:cs="Arial"/>
          <w:sz w:val="22"/>
          <w:szCs w:val="22"/>
        </w:rPr>
      </w:pPr>
      <w:r w:rsidRPr="00536B8D">
        <w:rPr>
          <w:rFonts w:ascii="Arial" w:hAnsi="Arial" w:cs="Arial"/>
          <w:sz w:val="22"/>
          <w:szCs w:val="22"/>
        </w:rPr>
        <w:t xml:space="preserve">Portes, J (2023) </w:t>
      </w:r>
      <w:r w:rsidR="00D8191B" w:rsidRPr="00536B8D">
        <w:rPr>
          <w:rFonts w:ascii="Arial" w:hAnsi="Arial" w:cs="Arial"/>
          <w:sz w:val="22"/>
          <w:szCs w:val="22"/>
        </w:rPr>
        <w:t xml:space="preserve">‘The impact of Brexit on the UK economy: Reviewing the evidence’, </w:t>
      </w:r>
      <w:r w:rsidR="00D8191B" w:rsidRPr="00536B8D">
        <w:rPr>
          <w:rFonts w:ascii="Arial" w:hAnsi="Arial" w:cs="Arial"/>
          <w:i/>
          <w:iCs/>
          <w:sz w:val="22"/>
          <w:szCs w:val="22"/>
        </w:rPr>
        <w:t>UK in a Changing Europe</w:t>
      </w:r>
      <w:r w:rsidR="00D8191B" w:rsidRPr="00536B8D">
        <w:rPr>
          <w:rFonts w:ascii="Arial" w:hAnsi="Arial" w:cs="Arial"/>
          <w:sz w:val="22"/>
          <w:szCs w:val="22"/>
        </w:rPr>
        <w:t>, https://cepr.org/voxeu/columns/impact-brexit-uk-economy-reviewing-evidence</w:t>
      </w:r>
    </w:p>
    <w:p w14:paraId="05D5F3BF" w14:textId="77777777" w:rsidR="005F68D2" w:rsidRPr="00536B8D" w:rsidRDefault="005F68D2" w:rsidP="007A3782">
      <w:pPr>
        <w:pStyle w:val="Bibliography1"/>
        <w:rPr>
          <w:rFonts w:ascii="Arial" w:hAnsi="Arial" w:cs="Arial"/>
          <w:sz w:val="22"/>
          <w:szCs w:val="22"/>
        </w:rPr>
      </w:pPr>
      <w:r w:rsidRPr="00536B8D">
        <w:rPr>
          <w:rFonts w:ascii="Arial" w:hAnsi="Arial" w:cs="Arial"/>
          <w:sz w:val="22"/>
          <w:szCs w:val="22"/>
        </w:rPr>
        <w:t>Rodrik. D (2004) Industrial Policy for the 21st Century. Cambridge, MA: John F Kennedy School of Government.</w:t>
      </w:r>
    </w:p>
    <w:p w14:paraId="65163493" w14:textId="77777777" w:rsidR="005F68D2" w:rsidRPr="00536B8D" w:rsidRDefault="005F68D2" w:rsidP="007A3782">
      <w:pPr>
        <w:pStyle w:val="Bibliography1"/>
        <w:rPr>
          <w:rFonts w:ascii="Arial" w:hAnsi="Arial" w:cs="Arial"/>
          <w:sz w:val="22"/>
          <w:szCs w:val="22"/>
        </w:rPr>
      </w:pPr>
      <w:r w:rsidRPr="00536B8D">
        <w:rPr>
          <w:rFonts w:ascii="Arial" w:hAnsi="Arial" w:cs="Arial"/>
          <w:sz w:val="22"/>
          <w:szCs w:val="22"/>
        </w:rPr>
        <w:t>Rodrik, D (2008) One Economics, Many Recipes: Globalization, Institutions, and Economic Growth. Princeton: Princeton University Press.</w:t>
      </w:r>
    </w:p>
    <w:p w14:paraId="10112AC5" w14:textId="0880C23B" w:rsidR="00903C95" w:rsidRPr="00536B8D" w:rsidRDefault="0072766E" w:rsidP="007A3782">
      <w:pPr>
        <w:pStyle w:val="Bibliography1"/>
        <w:rPr>
          <w:rFonts w:ascii="Arial" w:hAnsi="Arial" w:cs="Arial"/>
          <w:sz w:val="22"/>
          <w:szCs w:val="22"/>
        </w:rPr>
      </w:pPr>
      <w:r w:rsidRPr="00536B8D">
        <w:rPr>
          <w:rFonts w:ascii="Arial" w:hAnsi="Arial" w:cs="Arial"/>
          <w:sz w:val="22"/>
          <w:szCs w:val="22"/>
        </w:rPr>
        <w:t xml:space="preserve">Roscoe, S., Skipworth, H., </w:t>
      </w:r>
      <w:proofErr w:type="spellStart"/>
      <w:r w:rsidRPr="00536B8D">
        <w:rPr>
          <w:rFonts w:ascii="Arial" w:hAnsi="Arial" w:cs="Arial"/>
          <w:sz w:val="22"/>
          <w:szCs w:val="22"/>
        </w:rPr>
        <w:t>Aktas</w:t>
      </w:r>
      <w:proofErr w:type="spellEnd"/>
      <w:r w:rsidRPr="00536B8D">
        <w:rPr>
          <w:rFonts w:ascii="Arial" w:hAnsi="Arial" w:cs="Arial"/>
          <w:sz w:val="22"/>
          <w:szCs w:val="22"/>
        </w:rPr>
        <w:t xml:space="preserve">, E., &amp; Habib, F. (2020). Managing supply chain uncertainty arising from geopolitical disruptions: Evidence from the pharmaceutical industry and </w:t>
      </w:r>
      <w:r w:rsidR="00F77FDB" w:rsidRPr="00536B8D">
        <w:rPr>
          <w:rFonts w:ascii="Arial" w:hAnsi="Arial" w:cs="Arial"/>
          <w:sz w:val="22"/>
          <w:szCs w:val="22"/>
        </w:rPr>
        <w:t>Brexit</w:t>
      </w:r>
      <w:r w:rsidRPr="00536B8D">
        <w:rPr>
          <w:rFonts w:ascii="Arial" w:hAnsi="Arial" w:cs="Arial"/>
          <w:sz w:val="22"/>
          <w:szCs w:val="22"/>
        </w:rPr>
        <w:t xml:space="preserve">. </w:t>
      </w:r>
      <w:r w:rsidRPr="00536B8D">
        <w:rPr>
          <w:rFonts w:ascii="Arial" w:hAnsi="Arial" w:cs="Arial"/>
          <w:i/>
          <w:sz w:val="22"/>
          <w:szCs w:val="22"/>
        </w:rPr>
        <w:t>International Journal of Operations &amp; Production Management</w:t>
      </w:r>
      <w:r w:rsidRPr="00536B8D">
        <w:rPr>
          <w:rFonts w:ascii="Arial" w:hAnsi="Arial" w:cs="Arial"/>
          <w:sz w:val="22"/>
          <w:szCs w:val="22"/>
        </w:rPr>
        <w:t xml:space="preserve">, </w:t>
      </w:r>
      <w:r w:rsidRPr="00536B8D">
        <w:rPr>
          <w:rFonts w:ascii="Arial" w:hAnsi="Arial" w:cs="Arial"/>
          <w:i/>
          <w:sz w:val="22"/>
          <w:szCs w:val="22"/>
        </w:rPr>
        <w:t>40</w:t>
      </w:r>
      <w:r w:rsidRPr="00536B8D">
        <w:rPr>
          <w:rFonts w:ascii="Arial" w:hAnsi="Arial" w:cs="Arial"/>
          <w:sz w:val="22"/>
          <w:szCs w:val="22"/>
        </w:rPr>
        <w:t>(9), 1499–1529. https://doi.org/10.1108/IJOPM-10-2019-0668</w:t>
      </w:r>
      <w:bookmarkEnd w:id="6"/>
    </w:p>
    <w:p w14:paraId="7DA27711" w14:textId="77777777" w:rsidR="00903C95" w:rsidRDefault="00903C95" w:rsidP="007A3782">
      <w:pPr>
        <w:rPr>
          <w:rFonts w:ascii="Arial" w:hAnsi="Arial" w:cs="Arial"/>
          <w:sz w:val="22"/>
          <w:szCs w:val="22"/>
        </w:rPr>
      </w:pPr>
    </w:p>
    <w:p w14:paraId="1F1F912A" w14:textId="77777777" w:rsidR="00457CFF" w:rsidRDefault="00457CFF" w:rsidP="007A3782">
      <w:pPr>
        <w:rPr>
          <w:rFonts w:ascii="Arial" w:hAnsi="Arial" w:cs="Arial"/>
          <w:sz w:val="22"/>
          <w:szCs w:val="22"/>
        </w:rPr>
      </w:pPr>
    </w:p>
    <w:p w14:paraId="302036E4" w14:textId="77777777" w:rsidR="00457CFF" w:rsidRDefault="00457CFF" w:rsidP="007A3782">
      <w:pPr>
        <w:rPr>
          <w:rFonts w:ascii="Arial" w:hAnsi="Arial" w:cs="Arial"/>
          <w:sz w:val="22"/>
          <w:szCs w:val="22"/>
        </w:rPr>
      </w:pPr>
    </w:p>
    <w:p w14:paraId="50A22FCD" w14:textId="77777777" w:rsidR="00457CFF" w:rsidRDefault="00457CFF" w:rsidP="007A3782">
      <w:pPr>
        <w:rPr>
          <w:rFonts w:ascii="Arial" w:hAnsi="Arial" w:cs="Arial"/>
          <w:sz w:val="22"/>
          <w:szCs w:val="22"/>
        </w:rPr>
      </w:pPr>
    </w:p>
    <w:p w14:paraId="10774AA8" w14:textId="73F4AA04" w:rsidR="00457CFF" w:rsidRPr="00536B8D" w:rsidRDefault="00457CFF" w:rsidP="007A3782">
      <w:pPr>
        <w:rPr>
          <w:rFonts w:ascii="Arial" w:hAnsi="Arial" w:cs="Arial"/>
          <w:sz w:val="22"/>
          <w:szCs w:val="22"/>
        </w:rPr>
      </w:pPr>
      <w:r>
        <w:rPr>
          <w:rFonts w:ascii="Arial" w:hAnsi="Arial" w:cs="Arial"/>
          <w:sz w:val="22"/>
          <w:szCs w:val="22"/>
        </w:rPr>
        <w:t>ENDS</w:t>
      </w:r>
    </w:p>
    <w:sectPr w:rsidR="00457CFF" w:rsidRPr="00536B8D">
      <w:headerReference w:type="default" r:id="rId17"/>
      <w:footerReference w:type="default" r:id="rId18"/>
      <w:pgSz w:w="11906" w:h="16838"/>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D7CC1" w14:textId="77777777" w:rsidR="00805CEA" w:rsidRDefault="00805CEA" w:rsidP="00521C60">
      <w:pPr>
        <w:spacing w:after="0" w:line="240" w:lineRule="auto"/>
      </w:pPr>
      <w:r>
        <w:separator/>
      </w:r>
    </w:p>
  </w:endnote>
  <w:endnote w:type="continuationSeparator" w:id="0">
    <w:p w14:paraId="2575DF8A" w14:textId="77777777" w:rsidR="00805CEA" w:rsidRDefault="00805CEA" w:rsidP="00521C60">
      <w:pPr>
        <w:spacing w:after="0" w:line="240" w:lineRule="auto"/>
      </w:pPr>
      <w:r>
        <w:continuationSeparator/>
      </w:r>
    </w:p>
  </w:endnote>
  <w:endnote w:type="continuationNotice" w:id="1">
    <w:p w14:paraId="3D494A48" w14:textId="77777777" w:rsidR="00805CEA" w:rsidRDefault="00805C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1"/>
    <w:family w:val="swiss"/>
    <w:pitch w:val="variable"/>
  </w:font>
  <w:font w:name="Noto Sans Devanagari">
    <w:charset w:val="00"/>
    <w:family w:val="swiss"/>
    <w:pitch w:val="variable"/>
    <w:sig w:usb0="80008023" w:usb1="00002046"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234092"/>
      <w:docPartObj>
        <w:docPartGallery w:val="Page Numbers (Bottom of Page)"/>
        <w:docPartUnique/>
      </w:docPartObj>
    </w:sdtPr>
    <w:sdtContent>
      <w:sdt>
        <w:sdtPr>
          <w:id w:val="1728636285"/>
          <w:docPartObj>
            <w:docPartGallery w:val="Page Numbers (Top of Page)"/>
            <w:docPartUnique/>
          </w:docPartObj>
        </w:sdtPr>
        <w:sdtContent>
          <w:p w14:paraId="57F26560" w14:textId="641DAD93" w:rsidR="00457CFF" w:rsidRDefault="00457CF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B2383F1" w14:textId="77777777" w:rsidR="00457CFF" w:rsidRDefault="00457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5DB8B" w14:textId="77777777" w:rsidR="00805CEA" w:rsidRDefault="00805CEA" w:rsidP="00521C60">
      <w:pPr>
        <w:spacing w:after="0" w:line="240" w:lineRule="auto"/>
      </w:pPr>
      <w:r>
        <w:separator/>
      </w:r>
    </w:p>
  </w:footnote>
  <w:footnote w:type="continuationSeparator" w:id="0">
    <w:p w14:paraId="2CD75731" w14:textId="77777777" w:rsidR="00805CEA" w:rsidRDefault="00805CEA" w:rsidP="00521C60">
      <w:pPr>
        <w:spacing w:after="0" w:line="240" w:lineRule="auto"/>
      </w:pPr>
      <w:r>
        <w:continuationSeparator/>
      </w:r>
    </w:p>
  </w:footnote>
  <w:footnote w:type="continuationNotice" w:id="1">
    <w:p w14:paraId="069FE8D4" w14:textId="77777777" w:rsidR="00805CEA" w:rsidRDefault="00805CEA">
      <w:pPr>
        <w:spacing w:after="0" w:line="240" w:lineRule="auto"/>
      </w:pPr>
    </w:p>
  </w:footnote>
  <w:footnote w:id="2">
    <w:p w14:paraId="6AF3A80B" w14:textId="77777777" w:rsidR="00521C60" w:rsidRDefault="00521C60" w:rsidP="00521C60">
      <w:pPr>
        <w:pStyle w:val="FootnoteText"/>
      </w:pPr>
      <w:r>
        <w:rPr>
          <w:rStyle w:val="FootnoteReference"/>
        </w:rPr>
        <w:footnoteRef/>
      </w:r>
      <w:r>
        <w:t xml:space="preserve"> See Bailey and De </w:t>
      </w:r>
      <w:proofErr w:type="spellStart"/>
      <w:r>
        <w:t>Propris</w:t>
      </w:r>
      <w:proofErr w:type="spellEnd"/>
      <w:r>
        <w:t xml:space="preserve"> (2017) on possibilities in the automotive case for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8286F" w14:textId="77777777" w:rsidR="00B50233" w:rsidRDefault="00B50233">
    <w:pPr>
      <w:pStyle w:val="Header"/>
    </w:pPr>
  </w:p>
  <w:p w14:paraId="66048DFF" w14:textId="77777777" w:rsidR="00457CFF" w:rsidRDefault="00457CFF">
    <w:pPr>
      <w:pStyle w:val="Header"/>
    </w:pPr>
  </w:p>
  <w:p w14:paraId="39EB5CAA" w14:textId="071869B0" w:rsidR="00457CFF" w:rsidRPr="00457CFF" w:rsidRDefault="00457CFF" w:rsidP="00457CFF">
    <w:pPr>
      <w:pStyle w:val="Header"/>
      <w:jc w:val="right"/>
      <w:rPr>
        <w:i/>
        <w:iCs/>
      </w:rPr>
    </w:pPr>
    <w:r w:rsidRPr="00457CFF">
      <w:rPr>
        <w:i/>
        <w:iCs/>
      </w:rPr>
      <w:t>Response to Invest 2035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408CF"/>
    <w:multiLevelType w:val="hybridMultilevel"/>
    <w:tmpl w:val="B308E038"/>
    <w:lvl w:ilvl="0" w:tplc="291A3A7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CE52B9"/>
    <w:multiLevelType w:val="hybridMultilevel"/>
    <w:tmpl w:val="02BA0834"/>
    <w:lvl w:ilvl="0" w:tplc="CC6E0C16">
      <w:start w:val="2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F5125F"/>
    <w:multiLevelType w:val="hybridMultilevel"/>
    <w:tmpl w:val="1124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94D47"/>
    <w:multiLevelType w:val="hybridMultilevel"/>
    <w:tmpl w:val="8D267B82"/>
    <w:lvl w:ilvl="0" w:tplc="1082B00E">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F1C97"/>
    <w:multiLevelType w:val="hybridMultilevel"/>
    <w:tmpl w:val="231E77B4"/>
    <w:lvl w:ilvl="0" w:tplc="4E0A546C">
      <w:start w:val="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16E2538"/>
    <w:multiLevelType w:val="hybridMultilevel"/>
    <w:tmpl w:val="E12A8244"/>
    <w:lvl w:ilvl="0" w:tplc="52F0116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7400BA"/>
    <w:multiLevelType w:val="hybridMultilevel"/>
    <w:tmpl w:val="AE3E07CE"/>
    <w:lvl w:ilvl="0" w:tplc="1C2625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FA2392"/>
    <w:multiLevelType w:val="multilevel"/>
    <w:tmpl w:val="A22ABA70"/>
    <w:lvl w:ilvl="0">
      <w:start w:val="1"/>
      <w:numFmt w:val="decimal"/>
      <w:lvlText w:val="%1."/>
      <w:lvlJc w:val="left"/>
      <w:pPr>
        <w:tabs>
          <w:tab w:val="num" w:pos="-76"/>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C2279C7"/>
    <w:multiLevelType w:val="hybridMultilevel"/>
    <w:tmpl w:val="68F4BA66"/>
    <w:lvl w:ilvl="0" w:tplc="BF7A2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0270D8"/>
    <w:multiLevelType w:val="hybridMultilevel"/>
    <w:tmpl w:val="9866FA6E"/>
    <w:lvl w:ilvl="0" w:tplc="B3FC5154">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7C525E"/>
    <w:multiLevelType w:val="hybridMultilevel"/>
    <w:tmpl w:val="377ABFC4"/>
    <w:lvl w:ilvl="0" w:tplc="944A6C1E">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D00F27"/>
    <w:multiLevelType w:val="multilevel"/>
    <w:tmpl w:val="E46A51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63000449">
    <w:abstractNumId w:val="7"/>
  </w:num>
  <w:num w:numId="2" w16cid:durableId="2018001696">
    <w:abstractNumId w:val="11"/>
  </w:num>
  <w:num w:numId="3" w16cid:durableId="378868572">
    <w:abstractNumId w:val="7"/>
    <w:lvlOverride w:ilvl="0">
      <w:startOverride w:val="1"/>
    </w:lvlOverride>
  </w:num>
  <w:num w:numId="4" w16cid:durableId="1735859999">
    <w:abstractNumId w:val="2"/>
  </w:num>
  <w:num w:numId="5" w16cid:durableId="1622423359">
    <w:abstractNumId w:val="4"/>
  </w:num>
  <w:num w:numId="6" w16cid:durableId="229465080">
    <w:abstractNumId w:val="6"/>
  </w:num>
  <w:num w:numId="7" w16cid:durableId="1175805696">
    <w:abstractNumId w:val="8"/>
  </w:num>
  <w:num w:numId="8" w16cid:durableId="237520507">
    <w:abstractNumId w:val="5"/>
  </w:num>
  <w:num w:numId="9" w16cid:durableId="2144929295">
    <w:abstractNumId w:val="0"/>
  </w:num>
  <w:num w:numId="10" w16cid:durableId="715858415">
    <w:abstractNumId w:val="3"/>
  </w:num>
  <w:num w:numId="11" w16cid:durableId="1939946335">
    <w:abstractNumId w:val="1"/>
  </w:num>
  <w:num w:numId="12" w16cid:durableId="1855068553">
    <w:abstractNumId w:val="10"/>
  </w:num>
  <w:num w:numId="13" w16cid:durableId="8415511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95"/>
    <w:rsid w:val="00003818"/>
    <w:rsid w:val="00014CE9"/>
    <w:rsid w:val="00017B4C"/>
    <w:rsid w:val="0003459A"/>
    <w:rsid w:val="00040A05"/>
    <w:rsid w:val="000604DD"/>
    <w:rsid w:val="00061ACA"/>
    <w:rsid w:val="00073C31"/>
    <w:rsid w:val="000765C2"/>
    <w:rsid w:val="000B6F4B"/>
    <w:rsid w:val="000D0501"/>
    <w:rsid w:val="000E1A6B"/>
    <w:rsid w:val="000E470F"/>
    <w:rsid w:val="00103239"/>
    <w:rsid w:val="00104E81"/>
    <w:rsid w:val="00115C83"/>
    <w:rsid w:val="0011737C"/>
    <w:rsid w:val="0013413E"/>
    <w:rsid w:val="00135EE5"/>
    <w:rsid w:val="00140633"/>
    <w:rsid w:val="00167F5F"/>
    <w:rsid w:val="00177EB4"/>
    <w:rsid w:val="00185D22"/>
    <w:rsid w:val="00193B28"/>
    <w:rsid w:val="001A3E8F"/>
    <w:rsid w:val="001B5DF4"/>
    <w:rsid w:val="001C0D9D"/>
    <w:rsid w:val="001C40B9"/>
    <w:rsid w:val="001C7137"/>
    <w:rsid w:val="001D0213"/>
    <w:rsid w:val="001D5FB0"/>
    <w:rsid w:val="002160B6"/>
    <w:rsid w:val="002176BD"/>
    <w:rsid w:val="002259E8"/>
    <w:rsid w:val="00240327"/>
    <w:rsid w:val="002446C4"/>
    <w:rsid w:val="00244B03"/>
    <w:rsid w:val="00245175"/>
    <w:rsid w:val="002531C7"/>
    <w:rsid w:val="00255BFB"/>
    <w:rsid w:val="0026351F"/>
    <w:rsid w:val="00276649"/>
    <w:rsid w:val="002771CF"/>
    <w:rsid w:val="0028099B"/>
    <w:rsid w:val="0029017F"/>
    <w:rsid w:val="002957B6"/>
    <w:rsid w:val="00295F4D"/>
    <w:rsid w:val="002978BF"/>
    <w:rsid w:val="002A775A"/>
    <w:rsid w:val="002B393B"/>
    <w:rsid w:val="002C4E64"/>
    <w:rsid w:val="002C7124"/>
    <w:rsid w:val="002D7C29"/>
    <w:rsid w:val="002E1F00"/>
    <w:rsid w:val="002F4E34"/>
    <w:rsid w:val="00340E31"/>
    <w:rsid w:val="003641F2"/>
    <w:rsid w:val="003838F2"/>
    <w:rsid w:val="003847A5"/>
    <w:rsid w:val="003A15A3"/>
    <w:rsid w:val="003A1DA2"/>
    <w:rsid w:val="003B7559"/>
    <w:rsid w:val="003C7BDC"/>
    <w:rsid w:val="003D0B2A"/>
    <w:rsid w:val="003E09BA"/>
    <w:rsid w:val="003F03C8"/>
    <w:rsid w:val="004037FB"/>
    <w:rsid w:val="00415391"/>
    <w:rsid w:val="00425BB2"/>
    <w:rsid w:val="00430A1F"/>
    <w:rsid w:val="004513FC"/>
    <w:rsid w:val="00457CFF"/>
    <w:rsid w:val="00460ED7"/>
    <w:rsid w:val="00480C59"/>
    <w:rsid w:val="00494C11"/>
    <w:rsid w:val="004C5EF5"/>
    <w:rsid w:val="004D42A9"/>
    <w:rsid w:val="004F3050"/>
    <w:rsid w:val="005053BF"/>
    <w:rsid w:val="00511C46"/>
    <w:rsid w:val="00521C60"/>
    <w:rsid w:val="00530635"/>
    <w:rsid w:val="00532702"/>
    <w:rsid w:val="0053388C"/>
    <w:rsid w:val="005350F1"/>
    <w:rsid w:val="00536B8D"/>
    <w:rsid w:val="005632C9"/>
    <w:rsid w:val="0058306E"/>
    <w:rsid w:val="005A1B08"/>
    <w:rsid w:val="005A5975"/>
    <w:rsid w:val="005D3252"/>
    <w:rsid w:val="005D592A"/>
    <w:rsid w:val="005E56D6"/>
    <w:rsid w:val="005E7B75"/>
    <w:rsid w:val="005F48D9"/>
    <w:rsid w:val="005F68D2"/>
    <w:rsid w:val="006172A7"/>
    <w:rsid w:val="006173BC"/>
    <w:rsid w:val="00621F48"/>
    <w:rsid w:val="00633309"/>
    <w:rsid w:val="006338DB"/>
    <w:rsid w:val="00635B36"/>
    <w:rsid w:val="00653039"/>
    <w:rsid w:val="006624CD"/>
    <w:rsid w:val="00670BFB"/>
    <w:rsid w:val="00692525"/>
    <w:rsid w:val="00693AAD"/>
    <w:rsid w:val="006B00EE"/>
    <w:rsid w:val="006C31A8"/>
    <w:rsid w:val="006E0B85"/>
    <w:rsid w:val="006E546C"/>
    <w:rsid w:val="007008B8"/>
    <w:rsid w:val="007078CD"/>
    <w:rsid w:val="0071362C"/>
    <w:rsid w:val="007168DC"/>
    <w:rsid w:val="00725998"/>
    <w:rsid w:val="0072766E"/>
    <w:rsid w:val="0073058D"/>
    <w:rsid w:val="00745966"/>
    <w:rsid w:val="00746E89"/>
    <w:rsid w:val="007477E3"/>
    <w:rsid w:val="00772CB5"/>
    <w:rsid w:val="00774022"/>
    <w:rsid w:val="00785BC5"/>
    <w:rsid w:val="007909B3"/>
    <w:rsid w:val="00793992"/>
    <w:rsid w:val="00794A30"/>
    <w:rsid w:val="00796294"/>
    <w:rsid w:val="007A18B0"/>
    <w:rsid w:val="007A3782"/>
    <w:rsid w:val="007A7151"/>
    <w:rsid w:val="007D0555"/>
    <w:rsid w:val="007D39AA"/>
    <w:rsid w:val="007D3D72"/>
    <w:rsid w:val="007F3606"/>
    <w:rsid w:val="00801B69"/>
    <w:rsid w:val="008023BE"/>
    <w:rsid w:val="00805CEA"/>
    <w:rsid w:val="0082333D"/>
    <w:rsid w:val="00824E79"/>
    <w:rsid w:val="00827A27"/>
    <w:rsid w:val="00840B53"/>
    <w:rsid w:val="00853534"/>
    <w:rsid w:val="00854EA4"/>
    <w:rsid w:val="00861AB3"/>
    <w:rsid w:val="008814D8"/>
    <w:rsid w:val="008B410D"/>
    <w:rsid w:val="008D3EC2"/>
    <w:rsid w:val="008D6634"/>
    <w:rsid w:val="008D6B04"/>
    <w:rsid w:val="008E297C"/>
    <w:rsid w:val="00903C95"/>
    <w:rsid w:val="00904B7C"/>
    <w:rsid w:val="009054B3"/>
    <w:rsid w:val="00921872"/>
    <w:rsid w:val="00961BC3"/>
    <w:rsid w:val="009828FD"/>
    <w:rsid w:val="009A2959"/>
    <w:rsid w:val="009B1DCE"/>
    <w:rsid w:val="009C5D5D"/>
    <w:rsid w:val="009C64D8"/>
    <w:rsid w:val="009D2136"/>
    <w:rsid w:val="009D5C92"/>
    <w:rsid w:val="009E7FE2"/>
    <w:rsid w:val="009F1A8F"/>
    <w:rsid w:val="009F4441"/>
    <w:rsid w:val="00A40BA4"/>
    <w:rsid w:val="00A51F0C"/>
    <w:rsid w:val="00A81438"/>
    <w:rsid w:val="00A81D33"/>
    <w:rsid w:val="00A83351"/>
    <w:rsid w:val="00A87396"/>
    <w:rsid w:val="00A90BFF"/>
    <w:rsid w:val="00AA3589"/>
    <w:rsid w:val="00AA3DEF"/>
    <w:rsid w:val="00AA67DB"/>
    <w:rsid w:val="00AD615C"/>
    <w:rsid w:val="00AF702E"/>
    <w:rsid w:val="00B07567"/>
    <w:rsid w:val="00B149A3"/>
    <w:rsid w:val="00B15F29"/>
    <w:rsid w:val="00B3643E"/>
    <w:rsid w:val="00B415E5"/>
    <w:rsid w:val="00B47277"/>
    <w:rsid w:val="00B50233"/>
    <w:rsid w:val="00B617A9"/>
    <w:rsid w:val="00B63827"/>
    <w:rsid w:val="00B67DF1"/>
    <w:rsid w:val="00B851CA"/>
    <w:rsid w:val="00B96991"/>
    <w:rsid w:val="00BA1C70"/>
    <w:rsid w:val="00BA2113"/>
    <w:rsid w:val="00BA32DA"/>
    <w:rsid w:val="00BB08D4"/>
    <w:rsid w:val="00BB6F2A"/>
    <w:rsid w:val="00BD2DF7"/>
    <w:rsid w:val="00BD523D"/>
    <w:rsid w:val="00BE2B96"/>
    <w:rsid w:val="00BF1F16"/>
    <w:rsid w:val="00BF4943"/>
    <w:rsid w:val="00BF5ED3"/>
    <w:rsid w:val="00C00E97"/>
    <w:rsid w:val="00C04356"/>
    <w:rsid w:val="00C27F6B"/>
    <w:rsid w:val="00C3289C"/>
    <w:rsid w:val="00C33E77"/>
    <w:rsid w:val="00C409CE"/>
    <w:rsid w:val="00C60380"/>
    <w:rsid w:val="00C60968"/>
    <w:rsid w:val="00C61485"/>
    <w:rsid w:val="00C673EC"/>
    <w:rsid w:val="00C73C2F"/>
    <w:rsid w:val="00C73CE2"/>
    <w:rsid w:val="00C73D3F"/>
    <w:rsid w:val="00C84E9A"/>
    <w:rsid w:val="00C93C13"/>
    <w:rsid w:val="00CB6AE0"/>
    <w:rsid w:val="00CC1DFB"/>
    <w:rsid w:val="00CC59DA"/>
    <w:rsid w:val="00CC6045"/>
    <w:rsid w:val="00CD62E7"/>
    <w:rsid w:val="00CE192E"/>
    <w:rsid w:val="00CF3775"/>
    <w:rsid w:val="00CF7E16"/>
    <w:rsid w:val="00D00474"/>
    <w:rsid w:val="00D01ECD"/>
    <w:rsid w:val="00D1416A"/>
    <w:rsid w:val="00D17061"/>
    <w:rsid w:val="00D274EC"/>
    <w:rsid w:val="00D32C43"/>
    <w:rsid w:val="00D527A4"/>
    <w:rsid w:val="00D636BF"/>
    <w:rsid w:val="00D6382D"/>
    <w:rsid w:val="00D63FBA"/>
    <w:rsid w:val="00D7429B"/>
    <w:rsid w:val="00D75759"/>
    <w:rsid w:val="00D77489"/>
    <w:rsid w:val="00D8191B"/>
    <w:rsid w:val="00D83E6D"/>
    <w:rsid w:val="00DA7CB7"/>
    <w:rsid w:val="00DD4D7A"/>
    <w:rsid w:val="00DD7F7D"/>
    <w:rsid w:val="00DE758A"/>
    <w:rsid w:val="00E021F6"/>
    <w:rsid w:val="00E077A9"/>
    <w:rsid w:val="00E12DD6"/>
    <w:rsid w:val="00E4023D"/>
    <w:rsid w:val="00E732AD"/>
    <w:rsid w:val="00E84DD6"/>
    <w:rsid w:val="00E91F82"/>
    <w:rsid w:val="00E96B49"/>
    <w:rsid w:val="00EA0A47"/>
    <w:rsid w:val="00EA0E65"/>
    <w:rsid w:val="00EC0370"/>
    <w:rsid w:val="00EC30DD"/>
    <w:rsid w:val="00ED1A1D"/>
    <w:rsid w:val="00ED2248"/>
    <w:rsid w:val="00EE0B24"/>
    <w:rsid w:val="00EE3449"/>
    <w:rsid w:val="00F129AE"/>
    <w:rsid w:val="00F14A8A"/>
    <w:rsid w:val="00F22E54"/>
    <w:rsid w:val="00F26726"/>
    <w:rsid w:val="00F36407"/>
    <w:rsid w:val="00F51298"/>
    <w:rsid w:val="00F52B80"/>
    <w:rsid w:val="00F55C4E"/>
    <w:rsid w:val="00F60575"/>
    <w:rsid w:val="00F64935"/>
    <w:rsid w:val="00F65E7D"/>
    <w:rsid w:val="00F718C7"/>
    <w:rsid w:val="00F749A4"/>
    <w:rsid w:val="00F77FDB"/>
    <w:rsid w:val="00F84C66"/>
    <w:rsid w:val="00F860B8"/>
    <w:rsid w:val="00F90178"/>
    <w:rsid w:val="00F93509"/>
    <w:rsid w:val="00F93545"/>
    <w:rsid w:val="00FA374D"/>
    <w:rsid w:val="00FA7FC4"/>
    <w:rsid w:val="00FB1B36"/>
    <w:rsid w:val="00FC0652"/>
    <w:rsid w:val="00FE05DF"/>
    <w:rsid w:val="00FF1D37"/>
    <w:rsid w:val="00FF61E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5B62"/>
  <w15:docId w15:val="{77B091C3-CFF5-49E4-98AC-393861B7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781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0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0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0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81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781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7810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7810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781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781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781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781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781076"/>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781076"/>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781076"/>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781076"/>
    <w:rPr>
      <w:i/>
      <w:iCs/>
      <w:color w:val="404040" w:themeColor="text1" w:themeTint="BF"/>
    </w:rPr>
  </w:style>
  <w:style w:type="character" w:styleId="IntenseEmphasis">
    <w:name w:val="Intense Emphasis"/>
    <w:basedOn w:val="DefaultParagraphFont"/>
    <w:uiPriority w:val="21"/>
    <w:qFormat/>
    <w:rsid w:val="00781076"/>
    <w:rPr>
      <w:i/>
      <w:iCs/>
      <w:color w:val="0F4761" w:themeColor="accent1" w:themeShade="BF"/>
    </w:rPr>
  </w:style>
  <w:style w:type="character" w:customStyle="1" w:styleId="IntenseQuoteChar">
    <w:name w:val="Intense Quote Char"/>
    <w:basedOn w:val="DefaultParagraphFont"/>
    <w:link w:val="IntenseQuote"/>
    <w:uiPriority w:val="30"/>
    <w:qFormat/>
    <w:rsid w:val="00781076"/>
    <w:rPr>
      <w:i/>
      <w:iCs/>
      <w:color w:val="0F4761" w:themeColor="accent1" w:themeShade="BF"/>
    </w:rPr>
  </w:style>
  <w:style w:type="character" w:styleId="IntenseReference">
    <w:name w:val="Intense Reference"/>
    <w:basedOn w:val="DefaultParagraphFont"/>
    <w:uiPriority w:val="32"/>
    <w:qFormat/>
    <w:rsid w:val="00781076"/>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Liberation Sans" w:eastAsia="Liberation Sans" w:hAnsi="Liberation Sans"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781076"/>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81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076"/>
    <w:pPr>
      <w:spacing w:before="160"/>
      <w:jc w:val="center"/>
    </w:pPr>
    <w:rPr>
      <w:i/>
      <w:iCs/>
      <w:color w:val="404040" w:themeColor="text1" w:themeTint="BF"/>
    </w:rPr>
  </w:style>
  <w:style w:type="paragraph" w:styleId="ListParagraph">
    <w:name w:val="List Paragraph"/>
    <w:basedOn w:val="Normal"/>
    <w:uiPriority w:val="34"/>
    <w:qFormat/>
    <w:rsid w:val="00781076"/>
    <w:pPr>
      <w:ind w:left="720"/>
      <w:contextualSpacing/>
    </w:pPr>
  </w:style>
  <w:style w:type="paragraph" w:styleId="IntenseQuote">
    <w:name w:val="Intense Quote"/>
    <w:basedOn w:val="Normal"/>
    <w:next w:val="Normal"/>
    <w:link w:val="IntenseQuoteChar"/>
    <w:uiPriority w:val="30"/>
    <w:qFormat/>
    <w:rsid w:val="00781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Bibliography1">
    <w:name w:val="Bibliography 1"/>
    <w:basedOn w:val="Index"/>
    <w:qFormat/>
    <w:pPr>
      <w:spacing w:after="0" w:line="480" w:lineRule="atLeast"/>
      <w:ind w:left="720" w:hanging="720"/>
    </w:pPr>
  </w:style>
  <w:style w:type="character" w:styleId="Hyperlink">
    <w:name w:val="Hyperlink"/>
    <w:basedOn w:val="DefaultParagraphFont"/>
    <w:uiPriority w:val="99"/>
    <w:unhideWhenUsed/>
    <w:rsid w:val="001C7137"/>
    <w:rPr>
      <w:color w:val="467886" w:themeColor="hyperlink"/>
      <w:u w:val="single"/>
    </w:rPr>
  </w:style>
  <w:style w:type="character" w:styleId="UnresolvedMention">
    <w:name w:val="Unresolved Mention"/>
    <w:basedOn w:val="DefaultParagraphFont"/>
    <w:uiPriority w:val="99"/>
    <w:semiHidden/>
    <w:unhideWhenUsed/>
    <w:rsid w:val="001C7137"/>
    <w:rPr>
      <w:color w:val="605E5C"/>
      <w:shd w:val="clear" w:color="auto" w:fill="E1DFDD"/>
    </w:rPr>
  </w:style>
  <w:style w:type="character" w:styleId="CommentReference">
    <w:name w:val="annotation reference"/>
    <w:basedOn w:val="DefaultParagraphFont"/>
    <w:uiPriority w:val="99"/>
    <w:semiHidden/>
    <w:unhideWhenUsed/>
    <w:rsid w:val="0026351F"/>
    <w:rPr>
      <w:sz w:val="16"/>
      <w:szCs w:val="16"/>
    </w:rPr>
  </w:style>
  <w:style w:type="paragraph" w:styleId="CommentText">
    <w:name w:val="annotation text"/>
    <w:basedOn w:val="Normal"/>
    <w:link w:val="CommentTextChar"/>
    <w:uiPriority w:val="99"/>
    <w:unhideWhenUsed/>
    <w:rsid w:val="0026351F"/>
    <w:pPr>
      <w:suppressAutoHyphens w:val="0"/>
      <w:spacing w:after="0" w:line="240" w:lineRule="auto"/>
    </w:pPr>
    <w:rPr>
      <w:rFonts w:ascii="Calibri" w:hAnsi="Calibri" w:cs="Calibri"/>
      <w:kern w:val="0"/>
      <w:sz w:val="20"/>
      <w:szCs w:val="20"/>
      <w:lang w:eastAsia="en-GB"/>
      <w14:ligatures w14:val="none"/>
    </w:rPr>
  </w:style>
  <w:style w:type="character" w:customStyle="1" w:styleId="CommentTextChar">
    <w:name w:val="Comment Text Char"/>
    <w:basedOn w:val="DefaultParagraphFont"/>
    <w:link w:val="CommentText"/>
    <w:uiPriority w:val="99"/>
    <w:rsid w:val="0026351F"/>
    <w:rPr>
      <w:rFonts w:ascii="Calibri" w:hAnsi="Calibri" w:cs="Calibri"/>
      <w:kern w:val="0"/>
      <w:sz w:val="20"/>
      <w:szCs w:val="20"/>
      <w:lang w:eastAsia="en-GB"/>
      <w14:ligatures w14:val="none"/>
    </w:rPr>
  </w:style>
  <w:style w:type="paragraph" w:styleId="FootnoteText">
    <w:name w:val="footnote text"/>
    <w:basedOn w:val="Normal"/>
    <w:link w:val="FootnoteTextChar"/>
    <w:uiPriority w:val="99"/>
    <w:semiHidden/>
    <w:unhideWhenUsed/>
    <w:rsid w:val="00521C60"/>
    <w:pPr>
      <w:suppressAutoHyphens w:val="0"/>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521C60"/>
    <w:rPr>
      <w:kern w:val="0"/>
      <w:sz w:val="20"/>
      <w:szCs w:val="20"/>
      <w14:ligatures w14:val="none"/>
    </w:rPr>
  </w:style>
  <w:style w:type="character" w:styleId="FootnoteReference">
    <w:name w:val="footnote reference"/>
    <w:basedOn w:val="DefaultParagraphFont"/>
    <w:uiPriority w:val="99"/>
    <w:semiHidden/>
    <w:unhideWhenUsed/>
    <w:rsid w:val="00521C60"/>
    <w:rPr>
      <w:vertAlign w:val="superscript"/>
    </w:rPr>
  </w:style>
  <w:style w:type="paragraph" w:styleId="Revision">
    <w:name w:val="Revision"/>
    <w:hidden/>
    <w:uiPriority w:val="99"/>
    <w:semiHidden/>
    <w:rsid w:val="002771CF"/>
    <w:pPr>
      <w:suppressAutoHyphens w:val="0"/>
    </w:pPr>
  </w:style>
  <w:style w:type="paragraph" w:styleId="CommentSubject">
    <w:name w:val="annotation subject"/>
    <w:basedOn w:val="CommentText"/>
    <w:next w:val="CommentText"/>
    <w:link w:val="CommentSubjectChar"/>
    <w:uiPriority w:val="99"/>
    <w:semiHidden/>
    <w:unhideWhenUsed/>
    <w:rsid w:val="00796294"/>
    <w:pPr>
      <w:suppressAutoHyphens/>
      <w:spacing w:after="160"/>
    </w:pPr>
    <w:rPr>
      <w:rFonts w:ascii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796294"/>
    <w:rPr>
      <w:rFonts w:ascii="Calibri" w:hAnsi="Calibri" w:cs="Calibri"/>
      <w:b/>
      <w:bCs/>
      <w:kern w:val="0"/>
      <w:sz w:val="20"/>
      <w:szCs w:val="20"/>
      <w:lang w:eastAsia="en-GB"/>
      <w14:ligatures w14:val="none"/>
    </w:rPr>
  </w:style>
  <w:style w:type="paragraph" w:styleId="Header">
    <w:name w:val="header"/>
    <w:basedOn w:val="Normal"/>
    <w:link w:val="HeaderChar"/>
    <w:uiPriority w:val="99"/>
    <w:unhideWhenUsed/>
    <w:rsid w:val="00B502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233"/>
  </w:style>
  <w:style w:type="paragraph" w:styleId="Footer">
    <w:name w:val="footer"/>
    <w:basedOn w:val="Normal"/>
    <w:link w:val="FooterChar"/>
    <w:uiPriority w:val="99"/>
    <w:unhideWhenUsed/>
    <w:rsid w:val="00B502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4845848">
      <w:bodyDiv w:val="1"/>
      <w:marLeft w:val="0"/>
      <w:marRight w:val="0"/>
      <w:marTop w:val="0"/>
      <w:marBottom w:val="0"/>
      <w:divBdr>
        <w:top w:val="none" w:sz="0" w:space="0" w:color="auto"/>
        <w:left w:val="none" w:sz="0" w:space="0" w:color="auto"/>
        <w:bottom w:val="none" w:sz="0" w:space="0" w:color="auto"/>
        <w:right w:val="none" w:sz="0" w:space="0" w:color="auto"/>
      </w:divBdr>
    </w:div>
    <w:div w:id="1673870802">
      <w:bodyDiv w:val="1"/>
      <w:marLeft w:val="0"/>
      <w:marRight w:val="0"/>
      <w:marTop w:val="0"/>
      <w:marBottom w:val="0"/>
      <w:divBdr>
        <w:top w:val="none" w:sz="0" w:space="0" w:color="auto"/>
        <w:left w:val="none" w:sz="0" w:space="0" w:color="auto"/>
        <w:bottom w:val="none" w:sz="0" w:space="0" w:color="auto"/>
        <w:right w:val="none" w:sz="0" w:space="0" w:color="auto"/>
      </w:divBdr>
    </w:div>
    <w:div w:id="1767117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i.org/10.1080/21582041.2024.235368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otorvehicleuniversity.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ppr.org/articles/rock-bott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i.org/10.1080/21582041.2023.2203122"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i.org/10.1080/21582041.2023.2282161"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2024-10-15T14:11:12+00:00</Date_x0020_Opened>
    <lcf76f155ced4ddcb4097134ff3c332f xmlns="b17adba7-ca22-498f-8f31-103c7a79bae1">
      <Terms xmlns="http://schemas.microsoft.com/office/infopath/2007/PartnerControls"/>
    </lcf76f155ced4ddcb4097134ff3c332f>
    <LegacyData xmlns="aaacb922-5235-4a66-b188-303b9b46fbd7" xsi:nil="true"/>
    <TaxCatchAll xmlns="0b2fd339-7acc-4894-9bbf-cb0477b15d5d">
      <Value>1</Value>
    </TaxCatchAll>
    <Descriptor xmlns="0063f72e-ace3-48fb-9c1f-5b513408b31f" xsi:nil="true"/>
    <m975189f4ba442ecbf67d4147307b177 xmlns="0b2fd339-7acc-4894-9bbf-cb0477b15d5d">
      <Terms xmlns="http://schemas.microsoft.com/office/infopath/2007/PartnerControls">
        <TermInfo>
          <TermName>Business Group</TermName>
          <TermId>26fdb3af-2967-4203-9485-8190f803df09</TermId>
        </TermInfo>
      </Terms>
    </m975189f4ba442ecbf67d4147307b177>
    <Location xmlns="b17adba7-ca22-498f-8f31-103c7a79bae1" xsi:nil="true"/>
    <Security_x0020_Classification xmlns="0063f72e-ace3-48fb-9c1f-5b513408b31f">OFFICIAL</Security_x0020_Classification>
    <Retention_x0020_Label xmlns="a8f60570-4bd3-4f2b-950b-a996de8ab151" xsi:nil="true"/>
    <Date_x0020_Closed xmlns="b413c3fd-5a3b-4239-b985-69032e371c04" xsi:nil="true"/>
    <_dlc_DocId xmlns="0b2fd339-7acc-4894-9bbf-cb0477b15d5d">YKFVKQTYNAPS-1575448812-2369</_dlc_DocId>
    <_dlc_DocIdUrl xmlns="0b2fd339-7acc-4894-9bbf-cb0477b15d5d">
      <Url>https://dbis.sharepoint.com/sites/GISU/_layouts/15/DocIdRedir.aspx?ID=YKFVKQTYNAPS-1575448812-2369</Url>
      <Description>YKFVKQTYNAPS-1575448812-2369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BD4CD628C99F4E9C42511C576D4F3C" ma:contentTypeVersion="30" ma:contentTypeDescription="Create a new document." ma:contentTypeScope="" ma:versionID="9a097fc3c366c516039fd9bb4116c6b7">
  <xsd:schema xmlns:xsd="http://www.w3.org/2001/XMLSchema" xmlns:xs="http://www.w3.org/2001/XMLSchema" xmlns:p="http://schemas.microsoft.com/office/2006/metadata/properties" xmlns:ns2="0b2fd339-7acc-4894-9bbf-cb0477b15d5d" xmlns:ns3="0063f72e-ace3-48fb-9c1f-5b513408b31f" xmlns:ns4="b413c3fd-5a3b-4239-b985-69032e371c04" xmlns:ns5="a8f60570-4bd3-4f2b-950b-a996de8ab151" xmlns:ns6="aaacb922-5235-4a66-b188-303b9b46fbd7" xmlns:ns7="b17adba7-ca22-498f-8f31-103c7a79bae1" targetNamespace="http://schemas.microsoft.com/office/2006/metadata/properties" ma:root="true" ma:fieldsID="f4273bd73c758a29d34fdc83c45f9e64" ns2:_="" ns3:_="" ns4:_="" ns5:_="" ns6:_="" ns7:_="">
    <xsd:import namespace="0b2fd339-7acc-4894-9bbf-cb0477b15d5d"/>
    <xsd:import namespace="0063f72e-ace3-48fb-9c1f-5b513408b31f"/>
    <xsd:import namespace="b413c3fd-5a3b-4239-b985-69032e371c04"/>
    <xsd:import namespace="a8f60570-4bd3-4f2b-950b-a996de8ab151"/>
    <xsd:import namespace="aaacb922-5235-4a66-b188-303b9b46fbd7"/>
    <xsd:import namespace="b17adba7-ca22-498f-8f31-103c7a79bae1"/>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SearchProperties" minOccurs="0"/>
                <xsd:element ref="ns7:MediaServiceObjectDetectorVersions" minOccurs="0"/>
                <xsd:element ref="ns2:SharedWithUsers" minOccurs="0"/>
                <xsd:element ref="ns2:SharedWithDetails" minOccurs="0"/>
                <xsd:element ref="ns7:MediaServiceDateTaken" minOccurs="0"/>
                <xsd:element ref="ns7:MediaServiceGenerationTime" minOccurs="0"/>
                <xsd:element ref="ns7:MediaServiceEventHashCode" minOccurs="0"/>
                <xsd:element ref="ns7:MediaLengthInSeconds" minOccurs="0"/>
                <xsd:element ref="ns7:lcf76f155ced4ddcb4097134ff3c332f" minOccurs="0"/>
                <xsd:element ref="ns7:MediaServiceOCR" minOccurs="0"/>
                <xsd:element ref="ns7:Location" minOccurs="0"/>
                <xsd:element ref="ns7:a07090b3-f02d-4cdb-bbf2-11f659b1d2cfCountryOrRegion" minOccurs="0"/>
                <xsd:element ref="ns7:a07090b3-f02d-4cdb-bbf2-11f659b1d2cfState" minOccurs="0"/>
                <xsd:element ref="ns7:a07090b3-f02d-4cdb-bbf2-11f659b1d2cfCity" minOccurs="0"/>
                <xsd:element ref="ns7:a07090b3-f02d-4cdb-bbf2-11f659b1d2cfPostalCode" minOccurs="0"/>
                <xsd:element ref="ns7:a07090b3-f02d-4cdb-bbf2-11f659b1d2cfStreet" minOccurs="0"/>
                <xsd:element ref="ns7:a07090b3-f02d-4cdb-bbf2-11f659b1d2cfGeoLoc" minOccurs="0"/>
                <xsd:element ref="ns7:a07090b3-f02d-4cdb-bbf2-11f659b1d2cf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fd339-7acc-4894-9bbf-cb0477b15d5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usiness Group|26fdb3af-2967-4203-9485-8190f803df09"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7bb9e876-8b40-44d8-ba96-55b101c594bc}" ma:internalName="TaxCatchAll" ma:showField="CatchAllData" ma:web="0b2fd339-7acc-4894-9bbf-cb0477b15d5d">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7bb9e876-8b40-44d8-ba96-55b101c594bc}" ma:internalName="TaxCatchAllLabel" ma:readOnly="true" ma:showField="CatchAllDataLabel" ma:web="0b2fd339-7acc-4894-9bbf-cb0477b15d5d">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adba7-ca22-498f-8f31-103c7a79bae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Location" ma:index="35" nillable="true" ma:displayName="Location" ma:format="Dropdown" ma:internalName="Location">
      <xsd:simpleType>
        <xsd:restriction base="dms:Unknown"/>
      </xsd:simpleType>
    </xsd:element>
    <xsd:element name="a07090b3-f02d-4cdb-bbf2-11f659b1d2cfCountryOrRegion" ma:index="36" nillable="true" ma:displayName="Location: Country/Region" ma:internalName="CountryOrRegion" ma:readOnly="true">
      <xsd:simpleType>
        <xsd:restriction base="dms:Text"/>
      </xsd:simpleType>
    </xsd:element>
    <xsd:element name="a07090b3-f02d-4cdb-bbf2-11f659b1d2cfState" ma:index="37" nillable="true" ma:displayName="Location: State" ma:internalName="State" ma:readOnly="true">
      <xsd:simpleType>
        <xsd:restriction base="dms:Text"/>
      </xsd:simpleType>
    </xsd:element>
    <xsd:element name="a07090b3-f02d-4cdb-bbf2-11f659b1d2cfCity" ma:index="38" nillable="true" ma:displayName="Location: City" ma:internalName="City" ma:readOnly="true">
      <xsd:simpleType>
        <xsd:restriction base="dms:Text"/>
      </xsd:simpleType>
    </xsd:element>
    <xsd:element name="a07090b3-f02d-4cdb-bbf2-11f659b1d2cfPostalCode" ma:index="39" nillable="true" ma:displayName="Location: Postal Code" ma:internalName="PostalCode" ma:readOnly="true">
      <xsd:simpleType>
        <xsd:restriction base="dms:Text"/>
      </xsd:simpleType>
    </xsd:element>
    <xsd:element name="a07090b3-f02d-4cdb-bbf2-11f659b1d2cfStreet" ma:index="40" nillable="true" ma:displayName="Location: Street" ma:internalName="Street" ma:readOnly="true">
      <xsd:simpleType>
        <xsd:restriction base="dms:Text"/>
      </xsd:simpleType>
    </xsd:element>
    <xsd:element name="a07090b3-f02d-4cdb-bbf2-11f659b1d2cfGeoLoc" ma:index="41" nillable="true" ma:displayName="Location: Coordinates" ma:internalName="GeoLoc" ma:readOnly="true">
      <xsd:simpleType>
        <xsd:restriction base="dms:Unknown"/>
      </xsd:simpleType>
    </xsd:element>
    <xsd:element name="a07090b3-f02d-4cdb-bbf2-11f659b1d2cfDispName" ma:index="42" nillable="true" ma:displayName="Location: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8EB1F-34BC-48B5-B9B4-489D91EABFE7}">
  <ds:schemaRefs>
    <ds:schemaRef ds:uri="http://schemas.microsoft.com/office/2006/metadata/properties"/>
    <ds:schemaRef ds:uri="http://schemas.microsoft.com/office/infopath/2007/PartnerControls"/>
    <ds:schemaRef ds:uri="b413c3fd-5a3b-4239-b985-69032e371c04"/>
    <ds:schemaRef ds:uri="b17adba7-ca22-498f-8f31-103c7a79bae1"/>
    <ds:schemaRef ds:uri="aaacb922-5235-4a66-b188-303b9b46fbd7"/>
    <ds:schemaRef ds:uri="0b2fd339-7acc-4894-9bbf-cb0477b15d5d"/>
    <ds:schemaRef ds:uri="0063f72e-ace3-48fb-9c1f-5b513408b31f"/>
    <ds:schemaRef ds:uri="a8f60570-4bd3-4f2b-950b-a996de8ab151"/>
  </ds:schemaRefs>
</ds:datastoreItem>
</file>

<file path=customXml/itemProps2.xml><?xml version="1.0" encoding="utf-8"?>
<ds:datastoreItem xmlns:ds="http://schemas.openxmlformats.org/officeDocument/2006/customXml" ds:itemID="{981110C3-ACEF-4774-ACDB-53FC5495F408}">
  <ds:schemaRefs>
    <ds:schemaRef ds:uri="http://schemas.openxmlformats.org/officeDocument/2006/bibliography"/>
  </ds:schemaRefs>
</ds:datastoreItem>
</file>

<file path=customXml/itemProps3.xml><?xml version="1.0" encoding="utf-8"?>
<ds:datastoreItem xmlns:ds="http://schemas.openxmlformats.org/officeDocument/2006/customXml" ds:itemID="{9CC01603-F6B2-4944-B16E-36F209FAD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fd339-7acc-4894-9bbf-cb0477b15d5d"/>
    <ds:schemaRef ds:uri="0063f72e-ace3-48fb-9c1f-5b513408b31f"/>
    <ds:schemaRef ds:uri="b413c3fd-5a3b-4239-b985-69032e371c04"/>
    <ds:schemaRef ds:uri="a8f60570-4bd3-4f2b-950b-a996de8ab151"/>
    <ds:schemaRef ds:uri="aaacb922-5235-4a66-b188-303b9b46fbd7"/>
    <ds:schemaRef ds:uri="b17adba7-ca22-498f-8f31-103c7a79b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9332F-C143-46DF-A66F-89638FD28583}">
  <ds:schemaRefs>
    <ds:schemaRef ds:uri="http://schemas.microsoft.com/sharepoint/events"/>
  </ds:schemaRefs>
</ds:datastoreItem>
</file>

<file path=customXml/itemProps5.xml><?xml version="1.0" encoding="utf-8"?>
<ds:datastoreItem xmlns:ds="http://schemas.openxmlformats.org/officeDocument/2006/customXml" ds:itemID="{1AC56A9F-ACF1-491D-AD2B-4F0939442161}">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5</TotalTime>
  <Pages>17</Pages>
  <Words>6531</Words>
  <Characters>37231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Cirrus</Company>
  <LinksUpToDate>false</LinksUpToDate>
  <CharactersWithSpaces>43675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HARE (DBT)</dc:creator>
  <dc:description/>
  <cp:lastModifiedBy>David Bailey (Management)</cp:lastModifiedBy>
  <cp:revision>3</cp:revision>
  <dcterms:created xsi:type="dcterms:W3CDTF">2024-11-25T15:21:00Z</dcterms:created>
  <dcterms:modified xsi:type="dcterms:W3CDTF">2024-11-25T15:39:00Z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1;#Business Group|26fdb3af-2967-4203-9485-8190f803df09</vt:lpwstr>
  </property>
  <property fmtid="{D5CDD505-2E9C-101B-9397-08002B2CF9AE}" pid="3" name="Business_x0020_Unit">
    <vt:lpwstr>1;#Business Group|26fdb3af-2967-4203-9485-8190f803df09</vt:lpwstr>
  </property>
  <property fmtid="{D5CDD505-2E9C-101B-9397-08002B2CF9AE}" pid="4" name="ContentTypeId">
    <vt:lpwstr>0x0101009ABD4CD628C99F4E9C42511C576D4F3C</vt:lpwstr>
  </property>
  <property fmtid="{D5CDD505-2E9C-101B-9397-08002B2CF9AE}" pid="5" name="MSIP_Label_c1c05e37-788c-4c59-b50e-5c98323c0a70_ActionId">
    <vt:lpwstr>51f0e9b9-924c-486b-a45e-899929b2a7b9</vt:lpwstr>
  </property>
  <property fmtid="{D5CDD505-2E9C-101B-9397-08002B2CF9AE}" pid="6" name="MSIP_Label_c1c05e37-788c-4c59-b50e-5c98323c0a70_ContentBits">
    <vt:lpwstr>0</vt:lpwstr>
  </property>
  <property fmtid="{D5CDD505-2E9C-101B-9397-08002B2CF9AE}" pid="7" name="MSIP_Label_c1c05e37-788c-4c59-b50e-5c98323c0a70_Enabled">
    <vt:lpwstr>true</vt:lpwstr>
  </property>
  <property fmtid="{D5CDD505-2E9C-101B-9397-08002B2CF9AE}" pid="8" name="MSIP_Label_c1c05e37-788c-4c59-b50e-5c98323c0a70_Method">
    <vt:lpwstr>Standard</vt:lpwstr>
  </property>
  <property fmtid="{D5CDD505-2E9C-101B-9397-08002B2CF9AE}" pid="9" name="MSIP_Label_c1c05e37-788c-4c59-b50e-5c98323c0a70_Name">
    <vt:lpwstr>OFFICIAL</vt:lpwstr>
  </property>
  <property fmtid="{D5CDD505-2E9C-101B-9397-08002B2CF9AE}" pid="10" name="MSIP_Label_c1c05e37-788c-4c59-b50e-5c98323c0a70_SetDate">
    <vt:lpwstr>2024-10-15T14:11:13Z</vt:lpwstr>
  </property>
  <property fmtid="{D5CDD505-2E9C-101B-9397-08002B2CF9AE}" pid="11" name="MSIP_Label_c1c05e37-788c-4c59-b50e-5c98323c0a70_SiteId">
    <vt:lpwstr>8fa217ec-33aa-46fb-ad96-dfe68006bb86</vt:lpwstr>
  </property>
  <property fmtid="{D5CDD505-2E9C-101B-9397-08002B2CF9AE}" pid="12" name="MediaServiceImageTags">
    <vt:lpwstr/>
  </property>
  <property fmtid="{D5CDD505-2E9C-101B-9397-08002B2CF9AE}" pid="13" name="ZOTERO_BREF_8Nd1h5Nx4iwZ_1">
    <vt:lpwstr>ZOTERO_ITEM CSL_CITATION {"citationID":"g0SRkM80","properties":{"formattedCitation":"(Coffey et al., 2023)","plainCitation":"(Coffey et al., 2023)","noteIndex":0},"citationItems":[{"id":3648,"uris":["http://zotero.org/users/local/OWkcCi4f/items/CZC46539"]</vt:lpwstr>
  </property>
  <property fmtid="{D5CDD505-2E9C-101B-9397-08002B2CF9AE}" pid="14" name="ZOTERO_BREF_8Nd1h5Nx4iwZ_2">
    <vt:lpwstr>,"itemData":{"id":3648,"type":"article-journal","abstract":"Britain’s industrial strategy, preoccupied with labour productivity, projects London as a role model because of a high gross value added (GVA) to employment ratio, an approach since followed in t</vt:lpwstr>
  </property>
  <property fmtid="{D5CDD505-2E9C-101B-9397-08002B2CF9AE}" pid="15" name="ZOTERO_BREF_8Nd1h5Nx4iwZ_3">
    <vt:lpwstr>he national ‘levelling-up’ agenda. We demonstrate that this is misplaced: it misses the subtleties of how positive agglomeration effects act and ignores how negative effects can, for distributional reasons, cause real as well as GVA-measured productivity </vt:lpwstr>
  </property>
  <property fmtid="{D5CDD505-2E9C-101B-9397-08002B2CF9AE}" pid="16" name="ZOTERO_BREF_8Nd1h5Nx4iwZ_4">
    <vt:lpwstr>to rise in a misleading way. We consider the implications for both London and infrastructure projects designed to reduce productivity differentials by improving connectivity with other cities, such as the ambitious but flawed High Speed 2 (HS2).","contain</vt:lpwstr>
  </property>
  <property fmtid="{D5CDD505-2E9C-101B-9397-08002B2CF9AE}" pid="17" name="ZOTERO_BREF_8Nd1h5Nx4iwZ_5">
    <vt:lpwstr>er-title":"Regional Studies","DOI":"10.1080/00343404.2022.2110226","ISSN":"0034-3404","issue":"6","note":"publisher: Routledge\n_eprint: https://doi.org/10.1080/00343404.2022.2110226","page":"1171–1183","source":"Taylor and Francis+NEJM","title":"Industri</vt:lpwstr>
  </property>
  <property fmtid="{D5CDD505-2E9C-101B-9397-08002B2CF9AE}" pid="18" name="ZOTERO_BREF_8Nd1h5Nx4iwZ_6">
    <vt:lpwstr>al policy, productivity and place: London as a ‘role model’ and High Speed 2 (HS2)","title-short":"Industrial policy, productivity and place","volume":"57","author":[{"family":"Coffey","given":"Dan"},{"family":"Thornley","given":"Carole"},{"family":"Tomli</vt:lpwstr>
  </property>
  <property fmtid="{D5CDD505-2E9C-101B-9397-08002B2CF9AE}" pid="19" name="ZOTERO_BREF_8Nd1h5Nx4iwZ_7">
    <vt:lpwstr>nson","given":"Philip R."}],"issued":{"date-parts":[["2023",6,3]]},"citation-key":"coffeyIndustrialPolicyProductivity2023"}}],"schema":"https://github.com/citation-style-language/schema/raw/master/csl-citation.json"}</vt:lpwstr>
  </property>
  <property fmtid="{D5CDD505-2E9C-101B-9397-08002B2CF9AE}" pid="20" name="ZOTERO_BREF_CoTkDZJbKzVD_1">
    <vt:lpwstr>ZOTERO_ITEM CSL_CITATION {"citationID":"D1ghkHPB","properties":{"formattedCitation":"(Roscoe et al., 2020)","plainCitation":"(Roscoe et al., 2020)","noteIndex":0},"citationItems":[{"id":3293,"uris":["http://zotero.org/users/local/OWkcCi4f/items/FXTAZS6I"]</vt:lpwstr>
  </property>
  <property fmtid="{D5CDD505-2E9C-101B-9397-08002B2CF9AE}" pid="21" name="ZOTERO_BREF_CoTkDZJbKzVD_10">
    <vt:lpwstr>ging supply chain uncertainty arising from geopolitical disruptions: evidence from the pharmaceutical industry and brexit","volume":"40","author":[{"family":"Roscoe","given":"Samuel"},{"family":"Skipworth","given":"Heather"},{"family":"Aktas","given":"Eme</vt:lpwstr>
  </property>
  <property fmtid="{D5CDD505-2E9C-101B-9397-08002B2CF9AE}" pid="22" name="ZOTERO_BREF_CoTkDZJbKzVD_11">
    <vt:lpwstr>l"},{"family":"Habib","given":"Farooq"}],"issued":{"date-parts":[["2020"]]},"citation-key":"roscoeManagingSupplyChain2020"}}],"schema":"https://github.com/citation-style-language/schema/raw/master/csl-citation.json"}</vt:lpwstr>
  </property>
  <property fmtid="{D5CDD505-2E9C-101B-9397-08002B2CF9AE}" pid="23" name="ZOTERO_BREF_CoTkDZJbKzVD_2">
    <vt:lpwstr>,"itemData":{"id":3293,"type":"article-journal","abstract":"Purpose This paper examines how firms of different sizes formulate and implement strategies to achieve fit with an external environment disrupted by a geopolitical event. The context of the study</vt:lpwstr>
  </property>
  <property fmtid="{D5CDD505-2E9C-101B-9397-08002B2CF9AE}" pid="24" name="ZOTERO_BREF_CoTkDZJbKzVD_3">
    <vt:lpwstr> is the pharmaceutical industry and how it managed the supply chain uncertainty created by the United Kingdom's decision to leave the European Union, or Brexit. Design/methodology/approach Data were collected longitudinally from the pro-Brexit vote on 23 </vt:lpwstr>
  </property>
  <property fmtid="{D5CDD505-2E9C-101B-9397-08002B2CF9AE}" pid="25" name="ZOTERO_BREF_CoTkDZJbKzVD_4">
    <vt:lpwstr>June 2016, until the UK’s departure from the EU on 31 January 2020. Twenty-seven interviews were conducted in the pharmaceutical sector, including nineteen interviews with senior managers at eight case companies and eight interviews with experts working f</vt:lpwstr>
  </property>
  <property fmtid="{D5CDD505-2E9C-101B-9397-08002B2CF9AE}" pid="26" name="ZOTERO_BREF_CoTkDZJbKzVD_5">
    <vt:lpwstr>or trade associations and standards institutes. The interview findings were triangulated with Brexit policy and strategy documentation. Findings When formulating strategy, multi-national enterprises (MNEs) used worst case assumptions, while large firms, a</vt:lpwstr>
  </property>
  <property fmtid="{D5CDD505-2E9C-101B-9397-08002B2CF9AE}" pid="27" name="ZOTERO_BREF_CoTkDZJbKzVD_6">
    <vt:lpwstr>nd small and medium sized enterprises (SMEs) gathered knowledge as part of a “wait-and-see” strategy, allowing them to reduce perceptions of heightened supply chain uncertainty. Firms then implemented reactive and/or proactive strategies to mitigate suppl</vt:lpwstr>
  </property>
  <property fmtid="{D5CDD505-2E9C-101B-9397-08002B2CF9AE}" pid="28" name="ZOTERO_BREF_CoTkDZJbKzVD_7">
    <vt:lpwstr>y chain risks. Originality/value The study elaborates on strategic contingency theory by identifying two important conditions for achieving strategic fit: first, companies deploy intangible resources, such as management time, to gather information and red</vt:lpwstr>
  </property>
  <property fmtid="{D5CDD505-2E9C-101B-9397-08002B2CF9AE}" pid="29" name="ZOTERO_BREF_CoTkDZJbKzVD_8">
    <vt:lpwstr>uce perceptions of heightened supply chain uncertainty. Second, companies deploy tangible resources (supply chain redundancies, new supply chain assets) to lessen the negative outcomes of supply chain risks. Managers are provided with an empirical framewo</vt:lpwstr>
  </property>
  <property fmtid="{D5CDD505-2E9C-101B-9397-08002B2CF9AE}" pid="30" name="ZOTERO_BREF_CoTkDZJbKzVD_9">
    <vt:lpwstr>rk for mitigating supply chain uncertainty and risk originating from geopolitical disruptions.","container-title":"International Journal of Operations &amp; Production Management","DOI":"10.1108/IJOPM-10-2019-0668","issue":"9","page":"1499-1529","title":"Mana</vt:lpwstr>
  </property>
  <property fmtid="{D5CDD505-2E9C-101B-9397-08002B2CF9AE}" pid="31" name="ZOTERO_BREF_KPqLENRCPnqH_1">
    <vt:lpwstr>ZOTERO_ITEM CSL_CITATION {"citationID":"NWRPbMM5","properties":{"formattedCitation":"(Bailey et al., 2022)","plainCitation":"(Bailey et al., 2022)","noteIndex":0},"citationItems":[{"id":3488,"uris":["http://zotero.org/users/local/OWkcCi4f/items/MGL4DMXH"]</vt:lpwstr>
  </property>
  <property fmtid="{D5CDD505-2E9C-101B-9397-08002B2CF9AE}" pid="32" name="ZOTERO_BREF_KPqLENRCPnqH_2">
    <vt:lpwstr>,"itemData":{"id":3488,"type":"article-journal","container-title":"Regional Studies","DOI":"10.1080/00343404.2022.2071421","ISSN":"0034-3404","page":"1-15","title":"Shocks, resilience and regional industry policy: Brexit and the automotive sector in two M</vt:lpwstr>
  </property>
  <property fmtid="{D5CDD505-2E9C-101B-9397-08002B2CF9AE}" pid="33" name="ZOTERO_BREF_KPqLENRCPnqH_3">
    <vt:lpwstr>idlands regions","author":[{"family":"Bailey","given":"David"},{"family":"Ruyter","given":"Alex","non-dropping-particle":"de"},{"family":"Hearne","given":"David"},{"family":"Ortega-Argilés","given":"Raquel"}],"issued":{"date-parts":[["2022"]]},"citation-k</vt:lpwstr>
  </property>
  <property fmtid="{D5CDD505-2E9C-101B-9397-08002B2CF9AE}" pid="34" name="ZOTERO_BREF_KPqLENRCPnqH_4">
    <vt:lpwstr>ey":"baileyShocksResilienceRegional2022"}}],"schema":"https://github.com/citation-style-language/schema/raw/master/csl-citation.json"}</vt:lpwstr>
  </property>
  <property fmtid="{D5CDD505-2E9C-101B-9397-08002B2CF9AE}" pid="35" name="ZOTERO_BREF_ZxOlxoNX2Ug9_1">
    <vt:lpwstr>ZOTERO_ITEM CSL_CITATION {"citationID":"wnnLUzVw","properties":{"formattedCitation":"(Coyle &amp; Mei, 2023)","plainCitation":"(Coyle &amp; Mei, 2023)","noteIndex":0},"citationItems":[{"id":3834,"uris":["http://zotero.org/users/local/OWkcCi4f/items/3J3Y8LRG"],"it</vt:lpwstr>
  </property>
  <property fmtid="{D5CDD505-2E9C-101B-9397-08002B2CF9AE}" pid="36" name="ZOTERO_BREF_ZxOlxoNX2Ug9_2">
    <vt:lpwstr>emData":{"id":3834,"type":"article-journal","abstract":"Abstract This paper explores the slowdown in labour productivity growth in the UK and other advanced economies by decomposing its growth into contributions from different sectors of the economy, lo..</vt:lpwstr>
  </property>
  <property fmtid="{D5CDD505-2E9C-101B-9397-08002B2CF9AE}" pid="37" name="ZOTERO_BREF_ZxOlxoNX2Ug9_3">
    <vt:lpwstr>.","container-title":"Economica","ISSN":"1468-0335","issue":"359","language":"en","note":"publisher: John Wiley &amp; Sons, Ltd","page":"813-850","source":"onlinelibrary.wiley.com","title":"Diagnosing the UK productivity slowdown: which sectors matter and why</vt:lpwstr>
  </property>
  <property fmtid="{D5CDD505-2E9C-101B-9397-08002B2CF9AE}" pid="38" name="ZOTERO_BREF_ZxOlxoNX2Ug9_4">
    <vt:lpwstr>?","title-short":"Diagnosing the UK productivity slowdown","volume":"90","author":[{"family":"Coyle","given":"Diane"},{"family":"Mei","given":"Jen-Chung"}],"issued":{"date-parts":[["2023",7,1]]},"citation-key":"coyleDiagnosingUKProductivity2023"}}],"schem</vt:lpwstr>
  </property>
  <property fmtid="{D5CDD505-2E9C-101B-9397-08002B2CF9AE}" pid="39" name="ZOTERO_BREF_ZxOlxoNX2Ug9_5">
    <vt:lpwstr>a":"https://github.com/citation-style-language/schema/raw/master/csl-citation.json"}</vt:lpwstr>
  </property>
  <property fmtid="{D5CDD505-2E9C-101B-9397-08002B2CF9AE}" pid="40" name="ZOTERO_BREF_jO8V5YNveLDL_1">
    <vt:lpwstr>ZOTERO_ITEM CSL_CITATION {"citationID":"TXlLiNZv","properties":{"formattedCitation":"(Office for National Statistics, 2024)","plainCitation":"(Office for National Statistics, 2024)","noteIndex":0},"citationItems":[{"id":3832,"uris":["http://zotero.org/use</vt:lpwstr>
  </property>
  <property fmtid="{D5CDD505-2E9C-101B-9397-08002B2CF9AE}" pid="41" name="ZOTERO_BREF_jO8V5YNveLDL_2">
    <vt:lpwstr>rs/local/OWkcCi4f/items/T965ZJYC"],"itemData":{"id":3832,"type":"webpage","title":"Output per hour worked by division, UK","URL":"https://www.ons.gov.uk/employmentandlabourmarket/peopleinwork/labourproductivity/datasets/outputperhourworkedbydivisionuk","a</vt:lpwstr>
  </property>
  <property fmtid="{D5CDD505-2E9C-101B-9397-08002B2CF9AE}" pid="42" name="ZOTERO_BREF_jO8V5YNveLDL_3">
    <vt:lpwstr>uthor":[{"family":"Office for National Statistics,","given":""}],"accessed":{"date-parts":[["2024",11,22]]},"issued":{"date-parts":[["2024",11,15]]},"citation-key":"officefornationalstatisticsOutputHourWorked2024a"}}],"schema":"https://github.com/citation</vt:lpwstr>
  </property>
  <property fmtid="{D5CDD505-2E9C-101B-9397-08002B2CF9AE}" pid="43" name="ZOTERO_BREF_jO8V5YNveLDL_4">
    <vt:lpwstr>-style-language/schema/raw/master/csl-citation.json"}</vt:lpwstr>
  </property>
  <property fmtid="{D5CDD505-2E9C-101B-9397-08002B2CF9AE}" pid="44" name="ZOTERO_BREF_kijao3JejkO7_1">
    <vt:lpwstr>ZOTERO_BIBL {"uncited":[],"omitted":[],"custom":[]} CSL_BIBLIOGRAPHY</vt:lpwstr>
  </property>
  <property fmtid="{D5CDD505-2E9C-101B-9397-08002B2CF9AE}" pid="45" name="ZOTERO_PREF_1">
    <vt:lpwstr>&lt;data data-version="3" zotero-version="6.0.35"&gt;&lt;session id="VLk5Lutp"/&gt;&lt;style id="http://www.zotero.org/styles/apa" locale="en-GB" hasBibliography="1" bibliographyStyleHasBeenSet="1"/&gt;&lt;prefs&gt;&lt;pref name="fieldType" value="Bookmark"/&gt;&lt;/prefs&gt;&lt;/data&gt;</vt:lpwstr>
  </property>
  <property fmtid="{D5CDD505-2E9C-101B-9397-08002B2CF9AE}" pid="46" name="_dlc_DocIdItemGuid">
    <vt:lpwstr>4d11f9bb-a67a-4c9d-a554-8ef612bf5366</vt:lpwstr>
  </property>
</Properties>
</file>