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7F10" w14:textId="098D97A8" w:rsidR="0055359C" w:rsidRPr="0065714D" w:rsidRDefault="00332D19" w:rsidP="005B6FA9">
      <w:pPr>
        <w:spacing w:after="0" w:line="240" w:lineRule="auto"/>
        <w:rPr>
          <w:rFonts w:ascii="Calibri" w:hAnsi="Calibri" w:cs="Calibri"/>
          <w:b/>
          <w:bCs/>
        </w:rPr>
      </w:pPr>
      <w:r w:rsidRPr="0065714D">
        <w:rPr>
          <w:rFonts w:ascii="Calibri" w:hAnsi="Calibri" w:cs="Calibri"/>
          <w:b/>
          <w:bCs/>
        </w:rPr>
        <w:t>University of Bath Briefing Note</w:t>
      </w:r>
      <w:r w:rsidRPr="0065714D">
        <w:rPr>
          <w:rFonts w:ascii="Calibri" w:hAnsi="Calibri" w:cs="Calibri"/>
          <w:b/>
          <w:bCs/>
          <w:i/>
          <w:iCs/>
        </w:rPr>
        <w:t xml:space="preserve"> </w:t>
      </w:r>
      <w:r w:rsidRPr="0065714D">
        <w:rPr>
          <w:rFonts w:ascii="Calibri" w:hAnsi="Calibri" w:cs="Calibri"/>
          <w:b/>
          <w:bCs/>
        </w:rPr>
        <w:t>on</w:t>
      </w:r>
      <w:r w:rsidR="009D5F13" w:rsidRPr="0065714D">
        <w:rPr>
          <w:rFonts w:ascii="Calibri" w:hAnsi="Calibri" w:cs="Calibri"/>
          <w:b/>
          <w:bCs/>
        </w:rPr>
        <w:t xml:space="preserve"> the</w:t>
      </w:r>
      <w:r w:rsidRPr="0065714D">
        <w:rPr>
          <w:rFonts w:ascii="Calibri" w:hAnsi="Calibri" w:cs="Calibri"/>
          <w:b/>
          <w:bCs/>
        </w:rPr>
        <w:t xml:space="preserve"> Foreign Influence Registration Scheme</w:t>
      </w:r>
    </w:p>
    <w:p w14:paraId="1BF1A3FC" w14:textId="77777777" w:rsidR="009D5F13" w:rsidRPr="0065714D" w:rsidRDefault="009D5F13" w:rsidP="005B6FA9">
      <w:pPr>
        <w:pBdr>
          <w:bottom w:val="single" w:sz="12" w:space="1" w:color="auto"/>
        </w:pBdr>
        <w:tabs>
          <w:tab w:val="left" w:pos="930"/>
        </w:tabs>
        <w:spacing w:after="0" w:line="240" w:lineRule="auto"/>
        <w:rPr>
          <w:rFonts w:ascii="Calibri" w:hAnsi="Calibri" w:cs="Calibri"/>
        </w:rPr>
      </w:pPr>
    </w:p>
    <w:p w14:paraId="256A4EB6" w14:textId="77777777" w:rsidR="009D5F13" w:rsidRPr="0065714D" w:rsidRDefault="009D5F13" w:rsidP="005B6FA9">
      <w:pPr>
        <w:tabs>
          <w:tab w:val="left" w:pos="930"/>
        </w:tabs>
        <w:spacing w:after="0" w:line="240" w:lineRule="auto"/>
        <w:rPr>
          <w:rFonts w:ascii="Calibri" w:hAnsi="Calibri" w:cs="Calibri"/>
          <w:b/>
          <w:bCs/>
        </w:rPr>
      </w:pPr>
    </w:p>
    <w:p w14:paraId="76E074E4" w14:textId="0B9B4BFA" w:rsidR="009D5F13" w:rsidRPr="0065714D" w:rsidRDefault="009D5F13" w:rsidP="005B6FA9">
      <w:pPr>
        <w:tabs>
          <w:tab w:val="left" w:pos="930"/>
        </w:tabs>
        <w:spacing w:after="0" w:line="240" w:lineRule="auto"/>
        <w:rPr>
          <w:rFonts w:ascii="Calibri" w:hAnsi="Calibri" w:cs="Calibri"/>
          <w:b/>
          <w:bCs/>
        </w:rPr>
      </w:pPr>
      <w:r w:rsidRPr="0065714D">
        <w:rPr>
          <w:rFonts w:ascii="Calibri" w:hAnsi="Calibri" w:cs="Calibri"/>
          <w:b/>
          <w:bCs/>
        </w:rPr>
        <w:t>Overview</w:t>
      </w:r>
    </w:p>
    <w:p w14:paraId="076274F5" w14:textId="77777777" w:rsidR="009D5F13" w:rsidRPr="0065714D" w:rsidRDefault="009D5F13" w:rsidP="005B6FA9">
      <w:pPr>
        <w:tabs>
          <w:tab w:val="left" w:pos="930"/>
        </w:tabs>
        <w:spacing w:after="0" w:line="240" w:lineRule="auto"/>
        <w:rPr>
          <w:rFonts w:ascii="Calibri" w:hAnsi="Calibri" w:cs="Calibri"/>
        </w:rPr>
      </w:pPr>
    </w:p>
    <w:p w14:paraId="18CEA773" w14:textId="4150DA8D" w:rsidR="009D5F13" w:rsidRPr="0065714D" w:rsidRDefault="00332D19" w:rsidP="006739B0">
      <w:pPr>
        <w:tabs>
          <w:tab w:val="left" w:pos="930"/>
        </w:tabs>
        <w:spacing w:after="0" w:line="240" w:lineRule="auto"/>
        <w:rPr>
          <w:rFonts w:ascii="Calibri" w:hAnsi="Calibri" w:cs="Calibri"/>
        </w:rPr>
      </w:pPr>
      <w:r w:rsidRPr="0065714D">
        <w:rPr>
          <w:rFonts w:ascii="Calibri" w:hAnsi="Calibri" w:cs="Calibri"/>
        </w:rPr>
        <w:t>A new legislative requirement</w:t>
      </w:r>
      <w:r w:rsidR="009D5F13" w:rsidRPr="0065714D">
        <w:rPr>
          <w:rFonts w:ascii="Calibri" w:hAnsi="Calibri" w:cs="Calibri"/>
        </w:rPr>
        <w:t xml:space="preserve"> – </w:t>
      </w:r>
      <w:r w:rsidRPr="0065714D">
        <w:rPr>
          <w:rFonts w:ascii="Calibri" w:hAnsi="Calibri" w:cs="Calibri"/>
        </w:rPr>
        <w:t xml:space="preserve">the </w:t>
      </w:r>
      <w:hyperlink r:id="rId8" w:history="1">
        <w:r w:rsidRPr="0065714D">
          <w:rPr>
            <w:rStyle w:val="Hyperlink"/>
            <w:rFonts w:ascii="Calibri" w:hAnsi="Calibri" w:cs="Calibri"/>
          </w:rPr>
          <w:t>Foreign Influence Registration Scheme</w:t>
        </w:r>
      </w:hyperlink>
      <w:r w:rsidR="009D5F13" w:rsidRPr="0065714D">
        <w:rPr>
          <w:rFonts w:ascii="Calibri" w:hAnsi="Calibri" w:cs="Calibri"/>
        </w:rPr>
        <w:t xml:space="preserve"> –</w:t>
      </w:r>
      <w:r w:rsidR="00D22B24">
        <w:rPr>
          <w:rFonts w:ascii="Calibri" w:hAnsi="Calibri" w:cs="Calibri"/>
        </w:rPr>
        <w:t xml:space="preserve"> </w:t>
      </w:r>
      <w:r w:rsidR="006739B0">
        <w:rPr>
          <w:rFonts w:ascii="Calibri" w:hAnsi="Calibri" w:cs="Calibri"/>
        </w:rPr>
        <w:t xml:space="preserve">came </w:t>
      </w:r>
      <w:r w:rsidRPr="0065714D">
        <w:rPr>
          <w:rFonts w:ascii="Calibri" w:hAnsi="Calibri" w:cs="Calibri"/>
        </w:rPr>
        <w:t>into effect on 1</w:t>
      </w:r>
      <w:r w:rsidR="006E6F2C">
        <w:rPr>
          <w:rFonts w:ascii="Calibri" w:hAnsi="Calibri" w:cs="Calibri"/>
        </w:rPr>
        <w:t xml:space="preserve"> </w:t>
      </w:r>
      <w:r w:rsidRPr="0065714D">
        <w:rPr>
          <w:rFonts w:ascii="Calibri" w:hAnsi="Calibri" w:cs="Calibri"/>
        </w:rPr>
        <w:t xml:space="preserve">July 2025. </w:t>
      </w:r>
    </w:p>
    <w:p w14:paraId="3B09B3FE" w14:textId="77777777" w:rsidR="009D5F13" w:rsidRPr="0065714D" w:rsidRDefault="009D5F13" w:rsidP="005B6FA9">
      <w:pPr>
        <w:tabs>
          <w:tab w:val="left" w:pos="930"/>
        </w:tabs>
        <w:spacing w:after="0" w:line="240" w:lineRule="auto"/>
        <w:rPr>
          <w:rFonts w:ascii="Calibri" w:hAnsi="Calibri" w:cs="Calibri"/>
        </w:rPr>
      </w:pPr>
    </w:p>
    <w:p w14:paraId="79F747ED" w14:textId="1572ABBE" w:rsidR="009D5F13" w:rsidRPr="0065714D" w:rsidRDefault="00332D19" w:rsidP="005B6FA9">
      <w:pPr>
        <w:tabs>
          <w:tab w:val="left" w:pos="930"/>
        </w:tabs>
        <w:spacing w:after="0" w:line="240" w:lineRule="auto"/>
        <w:rPr>
          <w:rFonts w:ascii="Calibri" w:hAnsi="Calibri" w:cs="Calibri"/>
        </w:rPr>
      </w:pPr>
      <w:r w:rsidRPr="0065714D">
        <w:rPr>
          <w:rFonts w:ascii="Calibri" w:hAnsi="Calibri" w:cs="Calibri"/>
        </w:rPr>
        <w:t xml:space="preserve">This briefing note provides a </w:t>
      </w:r>
      <w:r w:rsidR="00475198" w:rsidRPr="0065714D">
        <w:rPr>
          <w:rFonts w:ascii="Calibri" w:hAnsi="Calibri" w:cs="Calibri"/>
        </w:rPr>
        <w:t xml:space="preserve">high-level </w:t>
      </w:r>
      <w:r w:rsidRPr="0065714D">
        <w:rPr>
          <w:rFonts w:ascii="Calibri" w:hAnsi="Calibri" w:cs="Calibri"/>
        </w:rPr>
        <w:t xml:space="preserve">summary of the key elements of the scheme, including </w:t>
      </w:r>
      <w:r w:rsidR="006E6F2C">
        <w:rPr>
          <w:rFonts w:ascii="Calibri" w:hAnsi="Calibri" w:cs="Calibri"/>
        </w:rPr>
        <w:t xml:space="preserve">explaining </w:t>
      </w:r>
      <w:r w:rsidRPr="0065714D">
        <w:rPr>
          <w:rFonts w:ascii="Calibri" w:hAnsi="Calibri" w:cs="Calibri"/>
        </w:rPr>
        <w:t xml:space="preserve">the obligations it places on the </w:t>
      </w:r>
      <w:r w:rsidR="00402D09" w:rsidRPr="0065714D">
        <w:rPr>
          <w:rFonts w:ascii="Calibri" w:hAnsi="Calibri" w:cs="Calibri"/>
        </w:rPr>
        <w:t xml:space="preserve">University </w:t>
      </w:r>
      <w:r w:rsidR="00884E9C" w:rsidRPr="0065714D">
        <w:rPr>
          <w:rFonts w:ascii="Calibri" w:hAnsi="Calibri" w:cs="Calibri"/>
        </w:rPr>
        <w:t xml:space="preserve">community and the </w:t>
      </w:r>
      <w:r w:rsidRPr="0065714D">
        <w:rPr>
          <w:rFonts w:ascii="Calibri" w:hAnsi="Calibri" w:cs="Calibri"/>
        </w:rPr>
        <w:t xml:space="preserve">implications of non-compliance. </w:t>
      </w:r>
    </w:p>
    <w:p w14:paraId="7985DEB6" w14:textId="77777777" w:rsidR="009D5F13" w:rsidRPr="0065714D" w:rsidRDefault="009D5F13" w:rsidP="005B6FA9">
      <w:pPr>
        <w:tabs>
          <w:tab w:val="left" w:pos="930"/>
        </w:tabs>
        <w:spacing w:after="0" w:line="240" w:lineRule="auto"/>
        <w:rPr>
          <w:rFonts w:ascii="Calibri" w:hAnsi="Calibri" w:cs="Calibri"/>
        </w:rPr>
      </w:pPr>
    </w:p>
    <w:p w14:paraId="00B660DB" w14:textId="27D08A65" w:rsidR="00C80672" w:rsidRPr="0065714D" w:rsidRDefault="00C80672" w:rsidP="005B6FA9">
      <w:pPr>
        <w:tabs>
          <w:tab w:val="left" w:pos="930"/>
        </w:tabs>
        <w:spacing w:after="0" w:line="240" w:lineRule="auto"/>
        <w:rPr>
          <w:rFonts w:ascii="Calibri" w:hAnsi="Calibri" w:cs="Calibri"/>
        </w:rPr>
      </w:pPr>
      <w:r w:rsidRPr="0065714D">
        <w:rPr>
          <w:rFonts w:ascii="Calibri" w:hAnsi="Calibri" w:cs="Calibri"/>
        </w:rPr>
        <w:t xml:space="preserve">The government has provided extensive guidance notes online that include useful examples of the kind of arrangements and activities that are (and are </w:t>
      </w:r>
      <w:r w:rsidRPr="0065714D">
        <w:rPr>
          <w:rFonts w:ascii="Calibri" w:hAnsi="Calibri" w:cs="Calibri"/>
          <w:i/>
          <w:iCs/>
        </w:rPr>
        <w:t>not</w:t>
      </w:r>
      <w:r w:rsidRPr="0065714D">
        <w:rPr>
          <w:rFonts w:ascii="Calibri" w:hAnsi="Calibri" w:cs="Calibri"/>
        </w:rPr>
        <w:t xml:space="preserve">) registerable. Links to further information about the scheme are given </w:t>
      </w:r>
      <w:r w:rsidR="00E84F10">
        <w:rPr>
          <w:rFonts w:ascii="Calibri" w:hAnsi="Calibri" w:cs="Calibri"/>
        </w:rPr>
        <w:t xml:space="preserve">at the </w:t>
      </w:r>
      <w:r w:rsidRPr="0065714D">
        <w:rPr>
          <w:rFonts w:ascii="Calibri" w:hAnsi="Calibri" w:cs="Calibri"/>
        </w:rPr>
        <w:t xml:space="preserve">end of this document. </w:t>
      </w:r>
    </w:p>
    <w:p w14:paraId="6A73D375" w14:textId="77777777" w:rsidR="00C80672" w:rsidRPr="0065714D" w:rsidRDefault="00C80672" w:rsidP="005B6FA9">
      <w:pPr>
        <w:tabs>
          <w:tab w:val="left" w:pos="930"/>
        </w:tabs>
        <w:spacing w:after="0" w:line="240" w:lineRule="auto"/>
        <w:rPr>
          <w:rFonts w:ascii="Calibri" w:hAnsi="Calibri" w:cs="Calibri"/>
        </w:rPr>
      </w:pPr>
    </w:p>
    <w:p w14:paraId="7B718D16" w14:textId="1F2EF234" w:rsidR="00332D19" w:rsidRPr="0065714D" w:rsidRDefault="00C80672" w:rsidP="005B6FA9">
      <w:pPr>
        <w:tabs>
          <w:tab w:val="left" w:pos="930"/>
        </w:tabs>
        <w:spacing w:after="0" w:line="240" w:lineRule="auto"/>
        <w:rPr>
          <w:rFonts w:ascii="Calibri" w:hAnsi="Calibri" w:cs="Calibri"/>
        </w:rPr>
      </w:pPr>
      <w:r w:rsidRPr="0065714D">
        <w:rPr>
          <w:rFonts w:ascii="Calibri" w:hAnsi="Calibri" w:cs="Calibri"/>
        </w:rPr>
        <w:t>This briefing note is a high-level summary of the main points</w:t>
      </w:r>
      <w:r w:rsidR="00551664">
        <w:rPr>
          <w:rFonts w:ascii="Calibri" w:hAnsi="Calibri" w:cs="Calibri"/>
        </w:rPr>
        <w:t>,</w:t>
      </w:r>
      <w:r w:rsidRPr="0065714D">
        <w:rPr>
          <w:rFonts w:ascii="Calibri" w:hAnsi="Calibri" w:cs="Calibri"/>
        </w:rPr>
        <w:t xml:space="preserve"> and you are encouraged to familiarise yourself with the </w:t>
      </w:r>
      <w:r w:rsidR="005519DB">
        <w:rPr>
          <w:rFonts w:ascii="Calibri" w:hAnsi="Calibri" w:cs="Calibri"/>
        </w:rPr>
        <w:t xml:space="preserve">full </w:t>
      </w:r>
      <w:r w:rsidRPr="0065714D">
        <w:rPr>
          <w:rFonts w:ascii="Calibri" w:hAnsi="Calibri" w:cs="Calibri"/>
        </w:rPr>
        <w:t xml:space="preserve">guidance. </w:t>
      </w:r>
      <w:r w:rsidR="00BA6B82" w:rsidRPr="0065714D">
        <w:rPr>
          <w:rFonts w:ascii="Calibri" w:hAnsi="Calibri" w:cs="Calibri"/>
        </w:rPr>
        <w:t>T</w:t>
      </w:r>
      <w:r w:rsidR="00332D19" w:rsidRPr="0065714D">
        <w:rPr>
          <w:rFonts w:ascii="Calibri" w:hAnsi="Calibri" w:cs="Calibri"/>
        </w:rPr>
        <w:t>he steps the University is taking to comply with the Scheme</w:t>
      </w:r>
      <w:r w:rsidR="00BA6B82" w:rsidRPr="0065714D">
        <w:rPr>
          <w:rFonts w:ascii="Calibri" w:hAnsi="Calibri" w:cs="Calibri"/>
        </w:rPr>
        <w:t xml:space="preserve"> are outlined below</w:t>
      </w:r>
      <w:r w:rsidR="00332D19" w:rsidRPr="0065714D">
        <w:rPr>
          <w:rFonts w:ascii="Calibri" w:hAnsi="Calibri" w:cs="Calibri"/>
        </w:rPr>
        <w:t>.</w:t>
      </w:r>
      <w:r w:rsidR="009D5F13" w:rsidRPr="0065714D">
        <w:rPr>
          <w:rFonts w:ascii="Calibri" w:hAnsi="Calibri" w:cs="Calibri"/>
        </w:rPr>
        <w:t xml:space="preserve"> </w:t>
      </w:r>
    </w:p>
    <w:p w14:paraId="0AF8D5BC" w14:textId="77777777" w:rsidR="00C80672" w:rsidRPr="0065714D" w:rsidRDefault="00C80672" w:rsidP="005B6FA9">
      <w:pPr>
        <w:pBdr>
          <w:bottom w:val="single" w:sz="12" w:space="1" w:color="auto"/>
        </w:pBdr>
        <w:tabs>
          <w:tab w:val="left" w:pos="930"/>
        </w:tabs>
        <w:spacing w:after="0" w:line="240" w:lineRule="auto"/>
        <w:rPr>
          <w:rFonts w:ascii="Calibri" w:hAnsi="Calibri" w:cs="Calibri"/>
        </w:rPr>
      </w:pPr>
    </w:p>
    <w:p w14:paraId="7C5FC598" w14:textId="1B5CFAA7" w:rsidR="00332D19" w:rsidRPr="0065714D" w:rsidRDefault="00332D19" w:rsidP="005B6FA9">
      <w:pPr>
        <w:tabs>
          <w:tab w:val="left" w:pos="930"/>
        </w:tabs>
        <w:spacing w:after="0" w:line="240" w:lineRule="auto"/>
        <w:rPr>
          <w:rFonts w:ascii="Calibri" w:hAnsi="Calibri" w:cs="Calibri"/>
        </w:rPr>
      </w:pPr>
    </w:p>
    <w:p w14:paraId="51D8B913" w14:textId="77777777" w:rsidR="00C20F90" w:rsidRPr="0065714D" w:rsidRDefault="00C20F90" w:rsidP="005B6FA9">
      <w:pPr>
        <w:tabs>
          <w:tab w:val="left" w:pos="930"/>
        </w:tabs>
        <w:spacing w:after="0" w:line="240" w:lineRule="auto"/>
        <w:rPr>
          <w:rFonts w:ascii="Calibri" w:hAnsi="Calibri" w:cs="Calibri"/>
          <w:b/>
          <w:bCs/>
        </w:rPr>
      </w:pPr>
      <w:r w:rsidRPr="0065714D">
        <w:rPr>
          <w:rFonts w:ascii="Calibri" w:hAnsi="Calibri" w:cs="Calibri"/>
          <w:b/>
          <w:bCs/>
        </w:rPr>
        <w:t>The Scheme</w:t>
      </w:r>
    </w:p>
    <w:p w14:paraId="464A500E" w14:textId="77777777" w:rsidR="009D5F13" w:rsidRPr="0065714D" w:rsidRDefault="009D5F13" w:rsidP="005B6FA9">
      <w:pPr>
        <w:tabs>
          <w:tab w:val="left" w:pos="930"/>
        </w:tabs>
        <w:spacing w:after="0" w:line="240" w:lineRule="auto"/>
        <w:rPr>
          <w:rFonts w:ascii="Calibri" w:hAnsi="Calibri" w:cs="Calibri"/>
          <w:b/>
          <w:bCs/>
        </w:rPr>
      </w:pPr>
    </w:p>
    <w:p w14:paraId="1478A51B" w14:textId="1F02C869" w:rsidR="004D023A" w:rsidRPr="0065714D" w:rsidRDefault="00332D19" w:rsidP="005B6FA9">
      <w:pPr>
        <w:pStyle w:val="ListParagraph"/>
        <w:numPr>
          <w:ilvl w:val="0"/>
          <w:numId w:val="7"/>
        </w:numPr>
        <w:tabs>
          <w:tab w:val="left" w:pos="930"/>
        </w:tabs>
        <w:spacing w:after="0" w:line="240" w:lineRule="auto"/>
        <w:ind w:left="426" w:hanging="426"/>
        <w:rPr>
          <w:rFonts w:ascii="Calibri" w:hAnsi="Calibri" w:cs="Calibri"/>
        </w:rPr>
      </w:pPr>
      <w:r w:rsidRPr="0065714D">
        <w:rPr>
          <w:rFonts w:ascii="Calibri" w:hAnsi="Calibri" w:cs="Calibri"/>
        </w:rPr>
        <w:t>The Foreign Influence Registration Scheme (FIRS) is a new legislative</w:t>
      </w:r>
      <w:r w:rsidR="00402D09" w:rsidRPr="0065714D">
        <w:rPr>
          <w:rFonts w:ascii="Calibri" w:hAnsi="Calibri" w:cs="Calibri"/>
        </w:rPr>
        <w:t xml:space="preserve"> </w:t>
      </w:r>
      <w:r w:rsidRPr="0065714D">
        <w:rPr>
          <w:rFonts w:ascii="Calibri" w:hAnsi="Calibri" w:cs="Calibri"/>
        </w:rPr>
        <w:t>requirement embedded within the National Security Act 2023</w:t>
      </w:r>
      <w:r w:rsidR="009D5F13" w:rsidRPr="0065714D">
        <w:rPr>
          <w:rFonts w:ascii="Calibri" w:hAnsi="Calibri" w:cs="Calibri"/>
        </w:rPr>
        <w:t xml:space="preserve"> that </w:t>
      </w:r>
      <w:r w:rsidRPr="0065714D">
        <w:rPr>
          <w:rFonts w:ascii="Calibri" w:hAnsi="Calibri" w:cs="Calibri"/>
        </w:rPr>
        <w:t>c</w:t>
      </w:r>
      <w:r w:rsidR="006739B0">
        <w:rPr>
          <w:rFonts w:ascii="Calibri" w:hAnsi="Calibri" w:cs="Calibri"/>
        </w:rPr>
        <w:t>ame</w:t>
      </w:r>
      <w:r w:rsidRPr="0065714D">
        <w:rPr>
          <w:rFonts w:ascii="Calibri" w:hAnsi="Calibri" w:cs="Calibri"/>
        </w:rPr>
        <w:t xml:space="preserve"> into force on 1 July 2025.</w:t>
      </w:r>
    </w:p>
    <w:p w14:paraId="7E3D647E" w14:textId="77777777" w:rsidR="009D5F13" w:rsidRPr="0065714D" w:rsidRDefault="009D5F13" w:rsidP="005B6FA9">
      <w:pPr>
        <w:pStyle w:val="ListParagraph"/>
        <w:tabs>
          <w:tab w:val="left" w:pos="930"/>
        </w:tabs>
        <w:spacing w:after="0" w:line="240" w:lineRule="auto"/>
        <w:ind w:left="426" w:hanging="426"/>
        <w:rPr>
          <w:rFonts w:ascii="Calibri" w:hAnsi="Calibri" w:cs="Calibri"/>
        </w:rPr>
      </w:pPr>
    </w:p>
    <w:p w14:paraId="2C5BDDDA" w14:textId="48B9F3D6" w:rsidR="00332D19" w:rsidRPr="0065714D" w:rsidRDefault="004D023A" w:rsidP="005B6FA9">
      <w:pPr>
        <w:pStyle w:val="ListParagraph"/>
        <w:numPr>
          <w:ilvl w:val="0"/>
          <w:numId w:val="7"/>
        </w:numPr>
        <w:tabs>
          <w:tab w:val="left" w:pos="930"/>
        </w:tabs>
        <w:spacing w:after="0" w:line="240" w:lineRule="auto"/>
        <w:ind w:left="426" w:hanging="426"/>
        <w:rPr>
          <w:rFonts w:ascii="Calibri" w:hAnsi="Calibri" w:cs="Calibri"/>
        </w:rPr>
      </w:pPr>
      <w:r w:rsidRPr="0065714D">
        <w:rPr>
          <w:rFonts w:ascii="Calibri" w:hAnsi="Calibri" w:cs="Calibri"/>
        </w:rPr>
        <w:t>‘The legislation requires individuals or organisations to register where they form an arrangement</w:t>
      </w:r>
      <w:r w:rsidR="00551664">
        <w:rPr>
          <w:rStyle w:val="FootnoteReference"/>
          <w:rFonts w:ascii="Calibri" w:hAnsi="Calibri" w:cs="Calibri"/>
        </w:rPr>
        <w:footnoteReference w:id="1"/>
      </w:r>
      <w:r w:rsidRPr="0065714D">
        <w:rPr>
          <w:rFonts w:ascii="Calibri" w:hAnsi="Calibri" w:cs="Calibri"/>
        </w:rPr>
        <w:t xml:space="preserve"> with a specified foreign power or foreign power-controlled entity to carry out activities in the UK at their direction’</w:t>
      </w:r>
      <w:r w:rsidRPr="0065714D">
        <w:rPr>
          <w:rStyle w:val="FootnoteReference"/>
          <w:rFonts w:ascii="Calibri" w:hAnsi="Calibri" w:cs="Calibri"/>
        </w:rPr>
        <w:footnoteReference w:id="2"/>
      </w:r>
      <w:r w:rsidR="00B6264F" w:rsidRPr="0065714D">
        <w:rPr>
          <w:rFonts w:ascii="Calibri" w:hAnsi="Calibri" w:cs="Calibri"/>
          <w:vertAlign w:val="superscript"/>
        </w:rPr>
        <w:t xml:space="preserve">, </w:t>
      </w:r>
      <w:r w:rsidR="00B6264F" w:rsidRPr="0065714D">
        <w:rPr>
          <w:rStyle w:val="FootnoteReference"/>
          <w:rFonts w:ascii="Calibri" w:hAnsi="Calibri" w:cs="Calibri"/>
        </w:rPr>
        <w:footnoteReference w:id="3"/>
      </w:r>
      <w:r w:rsidRPr="0065714D">
        <w:rPr>
          <w:rFonts w:ascii="Calibri" w:hAnsi="Calibri" w:cs="Calibri"/>
        </w:rPr>
        <w:t xml:space="preserve">. </w:t>
      </w:r>
      <w:r w:rsidR="005B491A" w:rsidRPr="0065714D">
        <w:rPr>
          <w:rFonts w:ascii="Calibri" w:hAnsi="Calibri" w:cs="Calibri"/>
        </w:rPr>
        <w:t>There is no fee to register.</w:t>
      </w:r>
    </w:p>
    <w:p w14:paraId="0B9EA21C" w14:textId="77777777" w:rsidR="009D5F13" w:rsidRPr="0065714D" w:rsidRDefault="009D5F13" w:rsidP="005B6FA9">
      <w:pPr>
        <w:tabs>
          <w:tab w:val="left" w:pos="930"/>
        </w:tabs>
        <w:spacing w:after="0" w:line="240" w:lineRule="auto"/>
        <w:ind w:left="426" w:hanging="426"/>
        <w:rPr>
          <w:rFonts w:ascii="Calibri" w:hAnsi="Calibri" w:cs="Calibri"/>
        </w:rPr>
      </w:pPr>
    </w:p>
    <w:p w14:paraId="40C2A4C5" w14:textId="3994CFFF" w:rsidR="00C80672" w:rsidRPr="006739B0" w:rsidRDefault="003402B2" w:rsidP="005B6FA9">
      <w:pPr>
        <w:pStyle w:val="ListParagraph"/>
        <w:numPr>
          <w:ilvl w:val="0"/>
          <w:numId w:val="7"/>
        </w:numPr>
        <w:tabs>
          <w:tab w:val="left" w:pos="930"/>
        </w:tabs>
        <w:spacing w:after="0" w:line="240" w:lineRule="auto"/>
        <w:ind w:left="426" w:hanging="426"/>
        <w:rPr>
          <w:rFonts w:ascii="Calibri" w:hAnsi="Calibri" w:cs="Calibri"/>
        </w:rPr>
      </w:pPr>
      <w:r w:rsidRPr="006739B0">
        <w:rPr>
          <w:rFonts w:ascii="Calibri" w:hAnsi="Calibri" w:cs="Calibri"/>
        </w:rPr>
        <w:t xml:space="preserve">The legal requirement to register reportable activities may fall on the individual engaged in that </w:t>
      </w:r>
      <w:r w:rsidR="009F30A9" w:rsidRPr="006739B0">
        <w:rPr>
          <w:rFonts w:ascii="Calibri" w:hAnsi="Calibri" w:cs="Calibri"/>
        </w:rPr>
        <w:t>arrangement</w:t>
      </w:r>
      <w:r w:rsidRPr="006739B0">
        <w:rPr>
          <w:rFonts w:ascii="Calibri" w:hAnsi="Calibri" w:cs="Calibri"/>
        </w:rPr>
        <w:t>, or on the</w:t>
      </w:r>
      <w:r w:rsidR="009F30A9" w:rsidRPr="006739B0">
        <w:rPr>
          <w:rFonts w:ascii="Calibri" w:hAnsi="Calibri" w:cs="Calibri"/>
        </w:rPr>
        <w:t>ir</w:t>
      </w:r>
      <w:r w:rsidRPr="006739B0">
        <w:rPr>
          <w:rFonts w:ascii="Calibri" w:hAnsi="Calibri" w:cs="Calibri"/>
        </w:rPr>
        <w:t xml:space="preserve"> organisation. The person required to register may be a student or a member of staff</w:t>
      </w:r>
      <w:r w:rsidR="009D5F13" w:rsidRPr="006739B0">
        <w:rPr>
          <w:rFonts w:ascii="Calibri" w:hAnsi="Calibri" w:cs="Calibri"/>
        </w:rPr>
        <w:t xml:space="preserve">. </w:t>
      </w:r>
    </w:p>
    <w:p w14:paraId="4C620F89" w14:textId="77777777" w:rsidR="0065714D" w:rsidRPr="0065714D" w:rsidRDefault="0065714D" w:rsidP="005B6FA9">
      <w:pPr>
        <w:pStyle w:val="ListParagraph"/>
        <w:tabs>
          <w:tab w:val="left" w:pos="930"/>
        </w:tabs>
        <w:spacing w:after="0" w:line="240" w:lineRule="auto"/>
        <w:ind w:left="426"/>
        <w:rPr>
          <w:rFonts w:ascii="Calibri" w:hAnsi="Calibri" w:cs="Calibri"/>
        </w:rPr>
      </w:pPr>
    </w:p>
    <w:p w14:paraId="05F57095" w14:textId="657B75C6" w:rsidR="003402B2" w:rsidRPr="0065714D" w:rsidRDefault="00F42E73" w:rsidP="005B6FA9">
      <w:pPr>
        <w:pStyle w:val="ListParagraph"/>
        <w:numPr>
          <w:ilvl w:val="0"/>
          <w:numId w:val="7"/>
        </w:numPr>
        <w:tabs>
          <w:tab w:val="left" w:pos="930"/>
        </w:tabs>
        <w:spacing w:after="0" w:line="240" w:lineRule="auto"/>
        <w:ind w:left="426" w:hanging="426"/>
        <w:rPr>
          <w:rFonts w:ascii="Calibri" w:hAnsi="Calibri" w:cs="Calibri"/>
        </w:rPr>
      </w:pPr>
      <w:r w:rsidRPr="0065714D">
        <w:rPr>
          <w:rFonts w:ascii="Calibri" w:hAnsi="Calibri" w:cs="Calibri"/>
          <w:b/>
          <w:bCs/>
        </w:rPr>
        <w:t>It i</w:t>
      </w:r>
      <w:r w:rsidR="003402B2" w:rsidRPr="0065714D">
        <w:rPr>
          <w:rFonts w:ascii="Calibri" w:hAnsi="Calibri" w:cs="Calibri"/>
          <w:b/>
          <w:bCs/>
        </w:rPr>
        <w:t>s therefore critical that the whole University community is aware of, and acts on, these</w:t>
      </w:r>
      <w:r w:rsidR="005B491A" w:rsidRPr="0065714D">
        <w:rPr>
          <w:rFonts w:ascii="Calibri" w:hAnsi="Calibri" w:cs="Calibri"/>
          <w:b/>
          <w:bCs/>
        </w:rPr>
        <w:t xml:space="preserve"> new</w:t>
      </w:r>
      <w:r w:rsidR="003402B2" w:rsidRPr="0065714D">
        <w:rPr>
          <w:rFonts w:ascii="Calibri" w:hAnsi="Calibri" w:cs="Calibri"/>
          <w:b/>
          <w:bCs/>
        </w:rPr>
        <w:t xml:space="preserve"> legal responsibilities.</w:t>
      </w:r>
    </w:p>
    <w:p w14:paraId="27B786C7" w14:textId="77777777" w:rsidR="0065714D" w:rsidRDefault="0065714D" w:rsidP="005B6FA9">
      <w:pPr>
        <w:pStyle w:val="ListParagraph"/>
        <w:tabs>
          <w:tab w:val="left" w:pos="930"/>
        </w:tabs>
        <w:spacing w:after="0" w:line="240" w:lineRule="auto"/>
        <w:ind w:left="426"/>
        <w:rPr>
          <w:rFonts w:ascii="Calibri" w:hAnsi="Calibri" w:cs="Calibri"/>
        </w:rPr>
      </w:pPr>
    </w:p>
    <w:p w14:paraId="1FC13E32" w14:textId="3BA0ED2C" w:rsidR="00D43095" w:rsidRDefault="006E496A" w:rsidP="005B6FA9">
      <w:pPr>
        <w:pStyle w:val="ListParagraph"/>
        <w:numPr>
          <w:ilvl w:val="0"/>
          <w:numId w:val="7"/>
        </w:numPr>
        <w:tabs>
          <w:tab w:val="left" w:pos="930"/>
        </w:tabs>
        <w:spacing w:after="0" w:line="240" w:lineRule="auto"/>
        <w:ind w:left="426" w:hanging="426"/>
        <w:rPr>
          <w:rFonts w:ascii="Calibri" w:hAnsi="Calibri" w:cs="Calibri"/>
        </w:rPr>
      </w:pPr>
      <w:r w:rsidRPr="0065714D">
        <w:rPr>
          <w:rFonts w:ascii="Calibri" w:hAnsi="Calibri" w:cs="Calibri"/>
        </w:rPr>
        <w:t>Th</w:t>
      </w:r>
      <w:r w:rsidR="009F30A9" w:rsidRPr="0065714D">
        <w:rPr>
          <w:rFonts w:ascii="Calibri" w:hAnsi="Calibri" w:cs="Calibri"/>
        </w:rPr>
        <w:t>e</w:t>
      </w:r>
      <w:r w:rsidRPr="0065714D">
        <w:rPr>
          <w:rFonts w:ascii="Calibri" w:hAnsi="Calibri" w:cs="Calibri"/>
        </w:rPr>
        <w:t xml:space="preserve"> legislation does not prohibit any activity – it is </w:t>
      </w:r>
      <w:r w:rsidR="003402B2" w:rsidRPr="0065714D">
        <w:rPr>
          <w:rFonts w:ascii="Calibri" w:hAnsi="Calibri" w:cs="Calibri"/>
        </w:rPr>
        <w:t xml:space="preserve">intended </w:t>
      </w:r>
      <w:r w:rsidRPr="0065714D">
        <w:rPr>
          <w:rFonts w:ascii="Calibri" w:hAnsi="Calibri" w:cs="Calibri"/>
        </w:rPr>
        <w:t>to promote trans</w:t>
      </w:r>
      <w:r w:rsidR="003402B2" w:rsidRPr="0065714D">
        <w:rPr>
          <w:rFonts w:ascii="Calibri" w:hAnsi="Calibri" w:cs="Calibri"/>
        </w:rPr>
        <w:t xml:space="preserve">parency and openness, providing the government with information about the nature of foreign influence </w:t>
      </w:r>
      <w:r w:rsidR="009F30A9" w:rsidRPr="0065714D">
        <w:rPr>
          <w:rFonts w:ascii="Calibri" w:hAnsi="Calibri" w:cs="Calibri"/>
        </w:rPr>
        <w:t>i</w:t>
      </w:r>
      <w:r w:rsidR="003402B2" w:rsidRPr="0065714D">
        <w:rPr>
          <w:rFonts w:ascii="Calibri" w:hAnsi="Calibri" w:cs="Calibri"/>
        </w:rPr>
        <w:t>n the U</w:t>
      </w:r>
      <w:r w:rsidR="005B491A" w:rsidRPr="0065714D">
        <w:rPr>
          <w:rFonts w:ascii="Calibri" w:hAnsi="Calibri" w:cs="Calibri"/>
        </w:rPr>
        <w:t>K.</w:t>
      </w:r>
      <w:r w:rsidR="0065714D" w:rsidRPr="0065714D">
        <w:rPr>
          <w:rFonts w:ascii="Calibri" w:hAnsi="Calibri" w:cs="Calibri"/>
        </w:rPr>
        <w:t xml:space="preserve"> </w:t>
      </w:r>
    </w:p>
    <w:p w14:paraId="7600FD71" w14:textId="77777777" w:rsidR="0065714D" w:rsidRDefault="0065714D" w:rsidP="005B6FA9">
      <w:pPr>
        <w:pStyle w:val="ListParagraph"/>
        <w:tabs>
          <w:tab w:val="left" w:pos="930"/>
        </w:tabs>
        <w:spacing w:after="0" w:line="240" w:lineRule="auto"/>
        <w:ind w:left="426"/>
        <w:rPr>
          <w:rFonts w:ascii="Calibri" w:hAnsi="Calibri" w:cs="Calibri"/>
        </w:rPr>
      </w:pPr>
    </w:p>
    <w:p w14:paraId="7058F523" w14:textId="6B7BD787" w:rsidR="00D43095" w:rsidRPr="0065714D" w:rsidRDefault="00D43095" w:rsidP="005B6FA9">
      <w:pPr>
        <w:pStyle w:val="ListParagraph"/>
        <w:numPr>
          <w:ilvl w:val="0"/>
          <w:numId w:val="7"/>
        </w:numPr>
        <w:tabs>
          <w:tab w:val="left" w:pos="930"/>
        </w:tabs>
        <w:spacing w:after="0" w:line="240" w:lineRule="auto"/>
        <w:ind w:left="426" w:hanging="426"/>
        <w:rPr>
          <w:rFonts w:ascii="Calibri" w:hAnsi="Calibri" w:cs="Calibri"/>
        </w:rPr>
      </w:pPr>
      <w:r w:rsidRPr="0065714D">
        <w:rPr>
          <w:rFonts w:ascii="Calibri" w:hAnsi="Calibri" w:cs="Calibri"/>
        </w:rPr>
        <w:lastRenderedPageBreak/>
        <w:t>Information registered under FIRS that relates to political influence activities will be included on a public register. The aim of this register is to better inform the public as to the scale and extent of foreign influence in UK political affairs.</w:t>
      </w:r>
      <w:r w:rsidRPr="0065714D">
        <w:rPr>
          <w:rStyle w:val="FootnoteReference"/>
          <w:rFonts w:ascii="Calibri" w:hAnsi="Calibri" w:cs="Calibri"/>
        </w:rPr>
        <w:footnoteReference w:id="4"/>
      </w:r>
    </w:p>
    <w:p w14:paraId="65BC2563" w14:textId="77777777" w:rsidR="00D43095" w:rsidRPr="0065714D" w:rsidRDefault="00D43095" w:rsidP="005B6FA9">
      <w:pPr>
        <w:pStyle w:val="ListParagraph"/>
        <w:spacing w:after="0" w:line="240" w:lineRule="auto"/>
        <w:ind w:left="426" w:hanging="426"/>
        <w:rPr>
          <w:rFonts w:ascii="Calibri" w:hAnsi="Calibri" w:cs="Calibri"/>
        </w:rPr>
      </w:pPr>
    </w:p>
    <w:p w14:paraId="4DF3BCD0" w14:textId="19D10DE1" w:rsidR="009D5F13" w:rsidRPr="0065714D" w:rsidRDefault="00D43095" w:rsidP="005B6FA9">
      <w:pPr>
        <w:pStyle w:val="ListParagraph"/>
        <w:numPr>
          <w:ilvl w:val="0"/>
          <w:numId w:val="7"/>
        </w:numPr>
        <w:tabs>
          <w:tab w:val="left" w:pos="930"/>
        </w:tabs>
        <w:spacing w:after="0" w:line="240" w:lineRule="auto"/>
        <w:ind w:left="426" w:hanging="426"/>
        <w:rPr>
          <w:rFonts w:ascii="Calibri" w:hAnsi="Calibri" w:cs="Calibri"/>
        </w:rPr>
      </w:pPr>
      <w:r w:rsidRPr="0065714D">
        <w:rPr>
          <w:rFonts w:ascii="Calibri" w:hAnsi="Calibri" w:cs="Calibri"/>
        </w:rPr>
        <w:t>The FIRS has been established as a two-tier system: a political influence tier, and the enhanced tier.</w:t>
      </w:r>
    </w:p>
    <w:p w14:paraId="3CE96F3A" w14:textId="77777777" w:rsidR="00D43095" w:rsidRPr="0065714D" w:rsidRDefault="00D43095" w:rsidP="005B6FA9">
      <w:pPr>
        <w:pStyle w:val="ListParagraph"/>
        <w:spacing w:after="0" w:line="240" w:lineRule="auto"/>
        <w:ind w:left="426" w:hanging="426"/>
        <w:rPr>
          <w:rFonts w:ascii="Calibri" w:hAnsi="Calibri" w:cs="Calibri"/>
        </w:rPr>
      </w:pPr>
    </w:p>
    <w:p w14:paraId="58D0A3A4" w14:textId="77777777" w:rsidR="008A41F5" w:rsidRDefault="00D43095" w:rsidP="008A41F5">
      <w:pPr>
        <w:pStyle w:val="ListParagraph"/>
        <w:numPr>
          <w:ilvl w:val="1"/>
          <w:numId w:val="7"/>
        </w:numPr>
        <w:tabs>
          <w:tab w:val="left" w:pos="930"/>
        </w:tabs>
        <w:spacing w:after="0" w:line="240" w:lineRule="auto"/>
        <w:ind w:left="709" w:hanging="283"/>
        <w:rPr>
          <w:rFonts w:ascii="Calibri" w:hAnsi="Calibri" w:cs="Calibri"/>
        </w:rPr>
      </w:pPr>
      <w:r w:rsidRPr="0065714D">
        <w:rPr>
          <w:rFonts w:ascii="Calibri" w:hAnsi="Calibri" w:cs="Calibri"/>
        </w:rPr>
        <w:t xml:space="preserve">The </w:t>
      </w:r>
      <w:r w:rsidRPr="0065714D">
        <w:rPr>
          <w:rFonts w:ascii="Calibri" w:hAnsi="Calibri" w:cs="Calibri"/>
          <w:b/>
          <w:bCs/>
        </w:rPr>
        <w:t>political influence tier</w:t>
      </w:r>
      <w:r w:rsidRPr="0065714D">
        <w:rPr>
          <w:rFonts w:ascii="Calibri" w:hAnsi="Calibri" w:cs="Calibri"/>
        </w:rPr>
        <w:t xml:space="preserve"> requires the registration of arrangements with </w:t>
      </w:r>
      <w:r w:rsidRPr="0065714D">
        <w:rPr>
          <w:rFonts w:ascii="Calibri" w:hAnsi="Calibri" w:cs="Calibri"/>
          <w:i/>
          <w:iCs/>
        </w:rPr>
        <w:t>any foreign power</w:t>
      </w:r>
      <w:r w:rsidRPr="0065714D">
        <w:rPr>
          <w:rFonts w:ascii="Calibri" w:hAnsi="Calibri" w:cs="Calibri"/>
        </w:rPr>
        <w:t xml:space="preserve"> (except the Republic of Ireland) to carry out ‘political influence activities’ in the UK. These activities are defined narrowly as “[a] communication, public communication or provision of money, goods or services intended to influence a political matter”. The full definition is provided in the </w:t>
      </w:r>
      <w:hyperlink r:id="rId9" w:anchor="chapter3-condition3" w:history="1">
        <w:r w:rsidRPr="0065714D">
          <w:rPr>
            <w:rStyle w:val="Hyperlink"/>
            <w:rFonts w:ascii="Calibri" w:hAnsi="Calibri" w:cs="Calibri"/>
          </w:rPr>
          <w:t>political influence tier guidance</w:t>
        </w:r>
      </w:hyperlink>
      <w:r w:rsidRPr="0065714D">
        <w:rPr>
          <w:rFonts w:ascii="Calibri" w:hAnsi="Calibri" w:cs="Calibri"/>
        </w:rPr>
        <w:t>.</w:t>
      </w:r>
    </w:p>
    <w:p w14:paraId="69381574" w14:textId="77777777" w:rsidR="008A41F5" w:rsidRDefault="008A41F5" w:rsidP="008A41F5">
      <w:pPr>
        <w:pStyle w:val="ListParagraph"/>
        <w:tabs>
          <w:tab w:val="left" w:pos="930"/>
        </w:tabs>
        <w:spacing w:after="0" w:line="240" w:lineRule="auto"/>
        <w:ind w:left="709"/>
        <w:rPr>
          <w:rFonts w:ascii="Calibri" w:hAnsi="Calibri" w:cs="Calibri"/>
        </w:rPr>
      </w:pPr>
    </w:p>
    <w:p w14:paraId="7AB344B4" w14:textId="713D541C" w:rsidR="00D43095" w:rsidRPr="008A41F5" w:rsidRDefault="00D43095" w:rsidP="008A41F5">
      <w:pPr>
        <w:pStyle w:val="ListParagraph"/>
        <w:numPr>
          <w:ilvl w:val="1"/>
          <w:numId w:val="7"/>
        </w:numPr>
        <w:tabs>
          <w:tab w:val="left" w:pos="930"/>
        </w:tabs>
        <w:spacing w:after="0" w:line="240" w:lineRule="auto"/>
        <w:ind w:left="709" w:hanging="283"/>
        <w:rPr>
          <w:rFonts w:ascii="Calibri" w:hAnsi="Calibri" w:cs="Calibri"/>
        </w:rPr>
      </w:pPr>
      <w:r w:rsidRPr="008A41F5">
        <w:rPr>
          <w:rFonts w:ascii="Calibri" w:hAnsi="Calibri" w:cs="Calibri"/>
        </w:rPr>
        <w:t xml:space="preserve">The </w:t>
      </w:r>
      <w:r w:rsidRPr="008A41F5">
        <w:rPr>
          <w:rFonts w:ascii="Calibri" w:hAnsi="Calibri" w:cs="Calibri"/>
          <w:b/>
          <w:bCs/>
        </w:rPr>
        <w:t xml:space="preserve">enhanced tier </w:t>
      </w:r>
      <w:r w:rsidRPr="008A41F5">
        <w:rPr>
          <w:rFonts w:ascii="Calibri" w:hAnsi="Calibri" w:cs="Calibri"/>
        </w:rPr>
        <w:t>requires registration where individuals or organisations are directed by a specified foreign power or a specified foreign power</w:t>
      </w:r>
      <w:r w:rsidR="00581F4A" w:rsidRPr="008A41F5">
        <w:rPr>
          <w:rFonts w:ascii="Calibri" w:hAnsi="Calibri" w:cs="Calibri"/>
        </w:rPr>
        <w:t>-controlled organisation</w:t>
      </w:r>
      <w:r w:rsidRPr="008A41F5">
        <w:rPr>
          <w:rFonts w:ascii="Calibri" w:hAnsi="Calibri" w:cs="Calibri"/>
        </w:rPr>
        <w:t xml:space="preserve"> to carry out, or arrange for others to carry out, a broader range of “relevant activities” in the UK. Those being directed by these powers or organisations to carry out activities in the UK may have to register under the enhanced tier, and country-specific </w:t>
      </w:r>
      <w:hyperlink r:id="rId10" w:history="1">
        <w:r w:rsidRPr="008A41F5">
          <w:rPr>
            <w:rStyle w:val="Hyperlink"/>
            <w:rFonts w:ascii="Calibri" w:hAnsi="Calibri" w:cs="Calibri"/>
          </w:rPr>
          <w:t>guidance</w:t>
        </w:r>
      </w:hyperlink>
      <w:r w:rsidRPr="008A41F5">
        <w:rPr>
          <w:rFonts w:ascii="Calibri" w:hAnsi="Calibri" w:cs="Calibri"/>
        </w:rPr>
        <w:t xml:space="preserve"> has been provided. </w:t>
      </w:r>
      <w:r w:rsidR="00F42E73" w:rsidRPr="008A41F5">
        <w:rPr>
          <w:rFonts w:ascii="Calibri" w:hAnsi="Calibri" w:cs="Calibri"/>
        </w:rPr>
        <w:t xml:space="preserve">This guidance also lists the specified foreign power-controlled entities to which this requirement applies. </w:t>
      </w:r>
      <w:r w:rsidRPr="008A41F5">
        <w:rPr>
          <w:rFonts w:ascii="Calibri" w:hAnsi="Calibri" w:cs="Calibri"/>
        </w:rPr>
        <w:t>The foreign power</w:t>
      </w:r>
      <w:r w:rsidR="00F42E73" w:rsidRPr="008A41F5">
        <w:rPr>
          <w:rFonts w:ascii="Calibri" w:hAnsi="Calibri" w:cs="Calibri"/>
        </w:rPr>
        <w:t>s in the enhanced tier</w:t>
      </w:r>
      <w:r w:rsidRPr="008A41F5">
        <w:rPr>
          <w:rFonts w:ascii="Calibri" w:hAnsi="Calibri" w:cs="Calibri"/>
        </w:rPr>
        <w:t xml:space="preserve"> currently include Russia and Iran.</w:t>
      </w:r>
    </w:p>
    <w:p w14:paraId="4BC69E0B" w14:textId="495B1925" w:rsidR="00C80672" w:rsidRPr="0065714D" w:rsidRDefault="00C80672" w:rsidP="005B6FA9">
      <w:pPr>
        <w:tabs>
          <w:tab w:val="left" w:pos="930"/>
        </w:tabs>
        <w:spacing w:after="0" w:line="240" w:lineRule="auto"/>
        <w:rPr>
          <w:rFonts w:ascii="Calibri" w:hAnsi="Calibri" w:cs="Calibri"/>
        </w:rPr>
      </w:pPr>
    </w:p>
    <w:p w14:paraId="7F830F7C" w14:textId="46E06D9E" w:rsidR="0074560E" w:rsidRPr="0065714D" w:rsidRDefault="0074560E" w:rsidP="005B6FA9">
      <w:pPr>
        <w:tabs>
          <w:tab w:val="left" w:pos="930"/>
        </w:tabs>
        <w:spacing w:after="0" w:line="240" w:lineRule="auto"/>
        <w:rPr>
          <w:rFonts w:ascii="Calibri" w:hAnsi="Calibri" w:cs="Calibri"/>
          <w:b/>
          <w:bCs/>
        </w:rPr>
      </w:pPr>
      <w:r w:rsidRPr="0065714D">
        <w:rPr>
          <w:rFonts w:ascii="Calibri" w:hAnsi="Calibri" w:cs="Calibri"/>
          <w:b/>
          <w:bCs/>
        </w:rPr>
        <w:t>Timelines</w:t>
      </w:r>
      <w:r w:rsidR="004853C8" w:rsidRPr="0065714D">
        <w:rPr>
          <w:rFonts w:ascii="Calibri" w:hAnsi="Calibri" w:cs="Calibri"/>
          <w:b/>
          <w:bCs/>
        </w:rPr>
        <w:t xml:space="preserve"> and </w:t>
      </w:r>
      <w:r w:rsidR="00C80672" w:rsidRPr="0065714D">
        <w:rPr>
          <w:rFonts w:ascii="Calibri" w:hAnsi="Calibri" w:cs="Calibri"/>
          <w:b/>
          <w:bCs/>
        </w:rPr>
        <w:t>P</w:t>
      </w:r>
      <w:r w:rsidR="004853C8" w:rsidRPr="0065714D">
        <w:rPr>
          <w:rFonts w:ascii="Calibri" w:hAnsi="Calibri" w:cs="Calibri"/>
          <w:b/>
          <w:bCs/>
        </w:rPr>
        <w:t>enalties</w:t>
      </w:r>
    </w:p>
    <w:p w14:paraId="03C7C19F" w14:textId="77777777" w:rsidR="00C80672" w:rsidRPr="0065714D" w:rsidRDefault="00C80672" w:rsidP="005B6FA9">
      <w:pPr>
        <w:tabs>
          <w:tab w:val="left" w:pos="930"/>
        </w:tabs>
        <w:spacing w:after="0" w:line="240" w:lineRule="auto"/>
        <w:rPr>
          <w:rFonts w:ascii="Calibri" w:hAnsi="Calibri" w:cs="Calibri"/>
          <w:b/>
          <w:bCs/>
        </w:rPr>
      </w:pPr>
    </w:p>
    <w:p w14:paraId="2F73D547" w14:textId="3D238137" w:rsidR="004B2CA5" w:rsidRPr="0065714D" w:rsidRDefault="00E8690F" w:rsidP="005B6FA9">
      <w:pPr>
        <w:tabs>
          <w:tab w:val="left" w:pos="930"/>
        </w:tabs>
        <w:spacing w:after="0" w:line="240" w:lineRule="auto"/>
        <w:rPr>
          <w:rFonts w:ascii="Calibri" w:hAnsi="Calibri" w:cs="Calibri"/>
        </w:rPr>
      </w:pPr>
      <w:r w:rsidRPr="0065714D">
        <w:rPr>
          <w:rFonts w:ascii="Calibri" w:hAnsi="Calibri" w:cs="Calibri"/>
        </w:rPr>
        <w:t>With effect from 1</w:t>
      </w:r>
      <w:r w:rsidR="00C80672" w:rsidRPr="0065714D">
        <w:rPr>
          <w:rFonts w:ascii="Calibri" w:hAnsi="Calibri" w:cs="Calibri"/>
        </w:rPr>
        <w:t xml:space="preserve"> </w:t>
      </w:r>
      <w:r w:rsidRPr="0065714D">
        <w:rPr>
          <w:rFonts w:ascii="Calibri" w:hAnsi="Calibri" w:cs="Calibri"/>
        </w:rPr>
        <w:t>July 2025</w:t>
      </w:r>
      <w:r w:rsidR="004B2CA5" w:rsidRPr="0065714D">
        <w:rPr>
          <w:rFonts w:ascii="Calibri" w:hAnsi="Calibri" w:cs="Calibri"/>
        </w:rPr>
        <w:t>:</w:t>
      </w:r>
    </w:p>
    <w:p w14:paraId="1EBB66FC" w14:textId="77777777" w:rsidR="00C80672" w:rsidRPr="0065714D" w:rsidRDefault="00C80672" w:rsidP="005B6FA9">
      <w:pPr>
        <w:tabs>
          <w:tab w:val="left" w:pos="930"/>
        </w:tabs>
        <w:spacing w:after="0" w:line="240" w:lineRule="auto"/>
        <w:rPr>
          <w:rFonts w:ascii="Calibri" w:hAnsi="Calibri" w:cs="Calibri"/>
        </w:rPr>
      </w:pPr>
    </w:p>
    <w:p w14:paraId="35429350" w14:textId="1B9CEE1F" w:rsidR="004B2CA5" w:rsidRPr="00A02E04" w:rsidRDefault="00C62C15" w:rsidP="005B6FA9">
      <w:pPr>
        <w:pStyle w:val="ListParagraph"/>
        <w:numPr>
          <w:ilvl w:val="0"/>
          <w:numId w:val="4"/>
        </w:numPr>
        <w:tabs>
          <w:tab w:val="left" w:pos="426"/>
        </w:tabs>
        <w:spacing w:after="0" w:line="240" w:lineRule="auto"/>
        <w:ind w:left="426" w:hanging="426"/>
        <w:rPr>
          <w:rFonts w:ascii="Calibri" w:hAnsi="Calibri" w:cs="Calibri"/>
          <w:b/>
          <w:bCs/>
        </w:rPr>
      </w:pPr>
      <w:r w:rsidRPr="0065714D">
        <w:rPr>
          <w:rFonts w:ascii="Calibri" w:hAnsi="Calibri" w:cs="Calibri"/>
        </w:rPr>
        <w:t>A</w:t>
      </w:r>
      <w:r w:rsidR="00E8690F" w:rsidRPr="0065714D">
        <w:rPr>
          <w:rFonts w:ascii="Calibri" w:hAnsi="Calibri" w:cs="Calibri"/>
        </w:rPr>
        <w:t xml:space="preserve">ny </w:t>
      </w:r>
      <w:r w:rsidR="00E8690F" w:rsidRPr="0065714D">
        <w:rPr>
          <w:rFonts w:ascii="Calibri" w:hAnsi="Calibri" w:cs="Calibri"/>
          <w:i/>
          <w:iCs/>
        </w:rPr>
        <w:t>new</w:t>
      </w:r>
      <w:r w:rsidR="00E8690F" w:rsidRPr="0065714D">
        <w:rPr>
          <w:rFonts w:ascii="Calibri" w:hAnsi="Calibri" w:cs="Calibri"/>
        </w:rPr>
        <w:t xml:space="preserve"> arrangements that fall under the </w:t>
      </w:r>
      <w:r w:rsidR="00E8690F" w:rsidRPr="0065714D">
        <w:rPr>
          <w:rFonts w:ascii="Calibri" w:hAnsi="Calibri" w:cs="Calibri"/>
          <w:u w:val="single"/>
        </w:rPr>
        <w:t>political influence tier</w:t>
      </w:r>
      <w:r w:rsidR="00E8690F" w:rsidRPr="0065714D">
        <w:rPr>
          <w:rFonts w:ascii="Calibri" w:hAnsi="Calibri" w:cs="Calibri"/>
        </w:rPr>
        <w:t xml:space="preserve"> must be</w:t>
      </w:r>
      <w:r w:rsidR="004B2CA5" w:rsidRPr="0065714D">
        <w:rPr>
          <w:rFonts w:ascii="Calibri" w:hAnsi="Calibri" w:cs="Calibri"/>
        </w:rPr>
        <w:t xml:space="preserve"> </w:t>
      </w:r>
      <w:r w:rsidR="00E8690F" w:rsidRPr="0065714D">
        <w:rPr>
          <w:rFonts w:ascii="Calibri" w:hAnsi="Calibri" w:cs="Calibri"/>
        </w:rPr>
        <w:t>re</w:t>
      </w:r>
      <w:r w:rsidR="005A67FB" w:rsidRPr="0065714D">
        <w:rPr>
          <w:rFonts w:ascii="Calibri" w:hAnsi="Calibri" w:cs="Calibri"/>
        </w:rPr>
        <w:t>gistered on the FIRS portal</w:t>
      </w:r>
      <w:r w:rsidR="00E8690F" w:rsidRPr="0065714D">
        <w:rPr>
          <w:rFonts w:ascii="Calibri" w:hAnsi="Calibri" w:cs="Calibri"/>
        </w:rPr>
        <w:t xml:space="preserve"> </w:t>
      </w:r>
      <w:r w:rsidR="00E8690F" w:rsidRPr="0065714D">
        <w:rPr>
          <w:rFonts w:ascii="Calibri" w:hAnsi="Calibri" w:cs="Calibri"/>
          <w:u w:val="single"/>
        </w:rPr>
        <w:t>within 28 calendar days</w:t>
      </w:r>
      <w:r w:rsidR="00E8690F" w:rsidRPr="0065714D">
        <w:rPr>
          <w:rFonts w:ascii="Calibri" w:hAnsi="Calibri" w:cs="Calibri"/>
        </w:rPr>
        <w:t>.</w:t>
      </w:r>
      <w:r w:rsidR="004B2CA5" w:rsidRPr="0065714D">
        <w:rPr>
          <w:rFonts w:ascii="Calibri" w:hAnsi="Calibri" w:cs="Calibri"/>
        </w:rPr>
        <w:t xml:space="preserve"> </w:t>
      </w:r>
      <w:r w:rsidR="0024321E" w:rsidRPr="0065714D">
        <w:rPr>
          <w:rFonts w:ascii="Calibri" w:hAnsi="Calibri" w:cs="Calibri"/>
        </w:rPr>
        <w:t xml:space="preserve">Activities may start prior to registration. </w:t>
      </w:r>
      <w:r w:rsidR="004B2CA5" w:rsidRPr="00A02E04">
        <w:rPr>
          <w:rFonts w:ascii="Calibri" w:hAnsi="Calibri" w:cs="Calibri"/>
          <w:b/>
          <w:bCs/>
        </w:rPr>
        <w:t>The maximum penalty for non-compliance is 2 years’ imprisonment.</w:t>
      </w:r>
    </w:p>
    <w:p w14:paraId="47E73EF6" w14:textId="1B233633" w:rsidR="004B2CA5" w:rsidRPr="00A02E04" w:rsidRDefault="004B2CA5" w:rsidP="005B6FA9">
      <w:pPr>
        <w:pStyle w:val="ListParagraph"/>
        <w:numPr>
          <w:ilvl w:val="0"/>
          <w:numId w:val="4"/>
        </w:numPr>
        <w:tabs>
          <w:tab w:val="left" w:pos="426"/>
        </w:tabs>
        <w:spacing w:after="0" w:line="240" w:lineRule="auto"/>
        <w:ind w:left="426" w:hanging="426"/>
        <w:rPr>
          <w:rFonts w:ascii="Calibri" w:hAnsi="Calibri" w:cs="Calibri"/>
          <w:b/>
          <w:bCs/>
        </w:rPr>
      </w:pPr>
      <w:r w:rsidRPr="0065714D">
        <w:rPr>
          <w:rFonts w:ascii="Calibri" w:hAnsi="Calibri" w:cs="Calibri"/>
        </w:rPr>
        <w:t xml:space="preserve">Any </w:t>
      </w:r>
      <w:r w:rsidR="00E8690F" w:rsidRPr="0065714D">
        <w:rPr>
          <w:rFonts w:ascii="Calibri" w:hAnsi="Calibri" w:cs="Calibri"/>
          <w:i/>
          <w:iCs/>
        </w:rPr>
        <w:t>new</w:t>
      </w:r>
      <w:r w:rsidR="00E8690F" w:rsidRPr="0065714D">
        <w:rPr>
          <w:rFonts w:ascii="Calibri" w:hAnsi="Calibri" w:cs="Calibri"/>
        </w:rPr>
        <w:t xml:space="preserve"> arrangements that fall under the </w:t>
      </w:r>
      <w:r w:rsidRPr="0065714D">
        <w:rPr>
          <w:rFonts w:ascii="Calibri" w:hAnsi="Calibri" w:cs="Calibri"/>
          <w:u w:val="single"/>
        </w:rPr>
        <w:t>e</w:t>
      </w:r>
      <w:r w:rsidR="00E8690F" w:rsidRPr="0065714D">
        <w:rPr>
          <w:rFonts w:ascii="Calibri" w:hAnsi="Calibri" w:cs="Calibri"/>
          <w:u w:val="single"/>
        </w:rPr>
        <w:t xml:space="preserve">nhanced </w:t>
      </w:r>
      <w:r w:rsidRPr="0065714D">
        <w:rPr>
          <w:rFonts w:ascii="Calibri" w:hAnsi="Calibri" w:cs="Calibri"/>
          <w:u w:val="single"/>
        </w:rPr>
        <w:t>t</w:t>
      </w:r>
      <w:r w:rsidR="00E8690F" w:rsidRPr="0065714D">
        <w:rPr>
          <w:rFonts w:ascii="Calibri" w:hAnsi="Calibri" w:cs="Calibri"/>
          <w:u w:val="single"/>
        </w:rPr>
        <w:t>ier</w:t>
      </w:r>
      <w:r w:rsidR="00E8690F" w:rsidRPr="0065714D">
        <w:rPr>
          <w:rFonts w:ascii="Calibri" w:hAnsi="Calibri" w:cs="Calibri"/>
        </w:rPr>
        <w:t xml:space="preserve"> must be registered</w:t>
      </w:r>
      <w:r w:rsidRPr="0065714D">
        <w:rPr>
          <w:rFonts w:ascii="Calibri" w:hAnsi="Calibri" w:cs="Calibri"/>
        </w:rPr>
        <w:t xml:space="preserve"> </w:t>
      </w:r>
      <w:r w:rsidR="00E8690F" w:rsidRPr="0065714D">
        <w:rPr>
          <w:rFonts w:ascii="Calibri" w:hAnsi="Calibri" w:cs="Calibri"/>
          <w:u w:val="single"/>
        </w:rPr>
        <w:t>with</w:t>
      </w:r>
      <w:r w:rsidRPr="0065714D">
        <w:rPr>
          <w:rFonts w:ascii="Calibri" w:hAnsi="Calibri" w:cs="Calibri"/>
          <w:u w:val="single"/>
        </w:rPr>
        <w:t>in</w:t>
      </w:r>
      <w:r w:rsidR="00E8690F" w:rsidRPr="0065714D">
        <w:rPr>
          <w:rFonts w:ascii="Calibri" w:hAnsi="Calibri" w:cs="Calibri"/>
          <w:u w:val="single"/>
        </w:rPr>
        <w:t xml:space="preserve"> 10 calendar days</w:t>
      </w:r>
      <w:r w:rsidR="00E8690F" w:rsidRPr="0065714D">
        <w:rPr>
          <w:rFonts w:ascii="Calibri" w:hAnsi="Calibri" w:cs="Calibri"/>
        </w:rPr>
        <w:t>.</w:t>
      </w:r>
      <w:r w:rsidRPr="0065714D">
        <w:rPr>
          <w:rFonts w:ascii="Calibri" w:hAnsi="Calibri" w:cs="Calibri"/>
        </w:rPr>
        <w:t xml:space="preserve"> </w:t>
      </w:r>
      <w:r w:rsidR="0024321E" w:rsidRPr="0065714D">
        <w:rPr>
          <w:rFonts w:ascii="Calibri" w:hAnsi="Calibri" w:cs="Calibri"/>
        </w:rPr>
        <w:t>Activities</w:t>
      </w:r>
      <w:r w:rsidR="0024321E" w:rsidRPr="0065714D">
        <w:rPr>
          <w:rFonts w:ascii="Calibri" w:hAnsi="Calibri" w:cs="Calibri"/>
          <w:i/>
          <w:iCs/>
        </w:rPr>
        <w:t xml:space="preserve"> must not</w:t>
      </w:r>
      <w:r w:rsidR="0024321E" w:rsidRPr="0065714D">
        <w:rPr>
          <w:rFonts w:ascii="Calibri" w:hAnsi="Calibri" w:cs="Calibri"/>
        </w:rPr>
        <w:t xml:space="preserve"> start prior to registration. </w:t>
      </w:r>
      <w:r w:rsidRPr="00A02E04">
        <w:rPr>
          <w:rFonts w:ascii="Calibri" w:hAnsi="Calibri" w:cs="Calibri"/>
          <w:b/>
          <w:bCs/>
        </w:rPr>
        <w:t>The maximum penalty for non-compliance is 5 years’ imprisonment.</w:t>
      </w:r>
    </w:p>
    <w:p w14:paraId="16C5301E" w14:textId="77777777" w:rsidR="00E54D86" w:rsidRPr="00E54D86" w:rsidRDefault="00884E9C" w:rsidP="005B6FA9">
      <w:pPr>
        <w:pStyle w:val="ListParagraph"/>
        <w:numPr>
          <w:ilvl w:val="0"/>
          <w:numId w:val="4"/>
        </w:numPr>
        <w:tabs>
          <w:tab w:val="left" w:pos="426"/>
        </w:tabs>
        <w:spacing w:after="0" w:line="240" w:lineRule="auto"/>
        <w:ind w:left="426" w:hanging="426"/>
        <w:rPr>
          <w:rFonts w:ascii="Calibri" w:hAnsi="Calibri" w:cs="Calibri"/>
        </w:rPr>
      </w:pPr>
      <w:r w:rsidRPr="0065714D">
        <w:rPr>
          <w:rFonts w:ascii="Calibri" w:hAnsi="Calibri" w:cs="Calibri"/>
        </w:rPr>
        <w:t xml:space="preserve">Arrangements that existed </w:t>
      </w:r>
      <w:r w:rsidRPr="0065714D">
        <w:rPr>
          <w:rFonts w:ascii="Calibri" w:hAnsi="Calibri" w:cs="Calibri"/>
          <w:i/>
          <w:iCs/>
        </w:rPr>
        <w:t>before</w:t>
      </w:r>
      <w:r w:rsidR="00C80672" w:rsidRPr="0065714D">
        <w:rPr>
          <w:rFonts w:ascii="Calibri" w:hAnsi="Calibri" w:cs="Calibri"/>
          <w:i/>
          <w:iCs/>
        </w:rPr>
        <w:t xml:space="preserve"> </w:t>
      </w:r>
      <w:r w:rsidRPr="0065714D">
        <w:rPr>
          <w:rFonts w:ascii="Calibri" w:hAnsi="Calibri" w:cs="Calibri"/>
          <w:i/>
          <w:iCs/>
        </w:rPr>
        <w:t>July 2025</w:t>
      </w:r>
      <w:r w:rsidRPr="0065714D">
        <w:rPr>
          <w:rFonts w:ascii="Calibri" w:hAnsi="Calibri" w:cs="Calibri"/>
        </w:rPr>
        <w:t xml:space="preserve"> must be registered (for either tier) </w:t>
      </w:r>
      <w:r w:rsidRPr="0065714D">
        <w:rPr>
          <w:rFonts w:ascii="Calibri" w:hAnsi="Calibri" w:cs="Calibri"/>
          <w:u w:val="single"/>
        </w:rPr>
        <w:t xml:space="preserve">by </w:t>
      </w:r>
    </w:p>
    <w:p w14:paraId="0C449BF0" w14:textId="431EFC63" w:rsidR="00E8690F" w:rsidRPr="0065714D" w:rsidRDefault="00884E9C" w:rsidP="00E54D86">
      <w:pPr>
        <w:pStyle w:val="ListParagraph"/>
        <w:tabs>
          <w:tab w:val="left" w:pos="426"/>
        </w:tabs>
        <w:spacing w:after="0" w:line="240" w:lineRule="auto"/>
        <w:ind w:left="426"/>
        <w:rPr>
          <w:rFonts w:ascii="Calibri" w:hAnsi="Calibri" w:cs="Calibri"/>
        </w:rPr>
      </w:pPr>
      <w:r w:rsidRPr="0065714D">
        <w:rPr>
          <w:rFonts w:ascii="Calibri" w:hAnsi="Calibri" w:cs="Calibri"/>
          <w:u w:val="single"/>
        </w:rPr>
        <w:t>30 September 2025</w:t>
      </w:r>
      <w:r w:rsidRPr="0065714D">
        <w:rPr>
          <w:rFonts w:ascii="Calibri" w:hAnsi="Calibri" w:cs="Calibri"/>
        </w:rPr>
        <w:t>.</w:t>
      </w:r>
    </w:p>
    <w:p w14:paraId="5467F503" w14:textId="77777777" w:rsidR="004853C8" w:rsidRDefault="004853C8" w:rsidP="005B6FA9">
      <w:pPr>
        <w:tabs>
          <w:tab w:val="left" w:pos="930"/>
        </w:tabs>
        <w:spacing w:after="0" w:line="240" w:lineRule="auto"/>
        <w:rPr>
          <w:rFonts w:ascii="Calibri" w:hAnsi="Calibri" w:cs="Calibri"/>
        </w:rPr>
      </w:pPr>
    </w:p>
    <w:p w14:paraId="4D49AACA" w14:textId="77777777" w:rsidR="005B6FA9" w:rsidRDefault="005B6FA9" w:rsidP="005B6FA9">
      <w:pPr>
        <w:spacing w:after="0" w:line="240" w:lineRule="auto"/>
        <w:rPr>
          <w:rFonts w:ascii="Calibri" w:hAnsi="Calibri" w:cs="Calibri"/>
          <w:b/>
          <w:bCs/>
        </w:rPr>
      </w:pPr>
      <w:r>
        <w:rPr>
          <w:rFonts w:ascii="Calibri" w:hAnsi="Calibri" w:cs="Calibri"/>
          <w:b/>
          <w:bCs/>
        </w:rPr>
        <w:t>Next Steps</w:t>
      </w:r>
    </w:p>
    <w:p w14:paraId="1E29E4E5" w14:textId="77777777" w:rsidR="005B6FA9" w:rsidRPr="0065714D" w:rsidRDefault="005B6FA9" w:rsidP="005B6FA9">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548"/>
        <w:gridCol w:w="5826"/>
        <w:gridCol w:w="2642"/>
      </w:tblGrid>
      <w:tr w:rsidR="005B6FA9" w:rsidRPr="0065714D" w14:paraId="7A8C564F" w14:textId="77777777" w:rsidTr="00E23907">
        <w:tc>
          <w:tcPr>
            <w:tcW w:w="548" w:type="dxa"/>
          </w:tcPr>
          <w:p w14:paraId="483EF30B" w14:textId="77777777" w:rsidR="005B6FA9" w:rsidRPr="0065714D" w:rsidRDefault="005B6FA9" w:rsidP="00E23907">
            <w:pPr>
              <w:rPr>
                <w:rFonts w:ascii="Calibri" w:hAnsi="Calibri" w:cs="Calibri"/>
              </w:rPr>
            </w:pPr>
          </w:p>
        </w:tc>
        <w:tc>
          <w:tcPr>
            <w:tcW w:w="5826" w:type="dxa"/>
          </w:tcPr>
          <w:p w14:paraId="31FEBC45" w14:textId="77777777" w:rsidR="005B6FA9" w:rsidRPr="0065714D" w:rsidRDefault="005B6FA9" w:rsidP="00E23907">
            <w:pPr>
              <w:rPr>
                <w:rFonts w:ascii="Calibri" w:hAnsi="Calibri" w:cs="Calibri"/>
                <w:b/>
                <w:bCs/>
              </w:rPr>
            </w:pPr>
            <w:r w:rsidRPr="0065714D">
              <w:rPr>
                <w:rFonts w:ascii="Calibri" w:hAnsi="Calibri" w:cs="Calibri"/>
                <w:b/>
                <w:bCs/>
              </w:rPr>
              <w:t>Actions</w:t>
            </w:r>
          </w:p>
        </w:tc>
        <w:tc>
          <w:tcPr>
            <w:tcW w:w="2642" w:type="dxa"/>
          </w:tcPr>
          <w:p w14:paraId="148983A7" w14:textId="77777777" w:rsidR="005B6FA9" w:rsidRPr="0065714D" w:rsidRDefault="005B6FA9" w:rsidP="00E23907">
            <w:pPr>
              <w:rPr>
                <w:rFonts w:ascii="Calibri" w:hAnsi="Calibri" w:cs="Calibri"/>
                <w:b/>
                <w:bCs/>
              </w:rPr>
            </w:pPr>
            <w:r w:rsidRPr="0065714D">
              <w:rPr>
                <w:rFonts w:ascii="Calibri" w:hAnsi="Calibri" w:cs="Calibri"/>
                <w:b/>
                <w:bCs/>
              </w:rPr>
              <w:t>Associated Comms</w:t>
            </w:r>
          </w:p>
        </w:tc>
      </w:tr>
      <w:tr w:rsidR="005B6FA9" w:rsidRPr="0065714D" w14:paraId="5A898402" w14:textId="77777777" w:rsidTr="00E23907">
        <w:tc>
          <w:tcPr>
            <w:tcW w:w="548" w:type="dxa"/>
          </w:tcPr>
          <w:p w14:paraId="74D82130" w14:textId="77777777" w:rsidR="005B6FA9" w:rsidRPr="0065714D" w:rsidRDefault="005B6FA9" w:rsidP="00E23907">
            <w:pPr>
              <w:rPr>
                <w:rFonts w:ascii="Calibri" w:hAnsi="Calibri" w:cs="Calibri"/>
              </w:rPr>
            </w:pPr>
            <w:r w:rsidRPr="0065714D">
              <w:rPr>
                <w:rFonts w:ascii="Calibri" w:hAnsi="Calibri" w:cs="Calibri"/>
              </w:rPr>
              <w:t>1.</w:t>
            </w:r>
          </w:p>
        </w:tc>
        <w:tc>
          <w:tcPr>
            <w:tcW w:w="5826" w:type="dxa"/>
          </w:tcPr>
          <w:p w14:paraId="227E1E75" w14:textId="50BDA766" w:rsidR="005B6FA9" w:rsidRPr="0065714D" w:rsidRDefault="005B6FA9" w:rsidP="00E23907">
            <w:pPr>
              <w:ind w:left="48"/>
              <w:rPr>
                <w:rFonts w:ascii="Calibri" w:hAnsi="Calibri" w:cs="Calibri"/>
              </w:rPr>
            </w:pPr>
            <w:r w:rsidRPr="0065714D">
              <w:rPr>
                <w:rFonts w:ascii="Calibri" w:hAnsi="Calibri" w:cs="Calibri"/>
              </w:rPr>
              <w:t>A small Task and Finish Group w</w:t>
            </w:r>
            <w:r w:rsidR="00DD65D2">
              <w:rPr>
                <w:rFonts w:ascii="Calibri" w:hAnsi="Calibri" w:cs="Calibri"/>
              </w:rPr>
              <w:t>as</w:t>
            </w:r>
            <w:r w:rsidRPr="0065714D">
              <w:rPr>
                <w:rFonts w:ascii="Calibri" w:hAnsi="Calibri" w:cs="Calibri"/>
              </w:rPr>
              <w:t xml:space="preserve"> established</w:t>
            </w:r>
            <w:r w:rsidR="00D22B24">
              <w:rPr>
                <w:rFonts w:ascii="Calibri" w:hAnsi="Calibri" w:cs="Calibri"/>
              </w:rPr>
              <w:t>,</w:t>
            </w:r>
            <w:r w:rsidRPr="0065714D">
              <w:rPr>
                <w:rFonts w:ascii="Calibri" w:hAnsi="Calibri" w:cs="Calibri"/>
              </w:rPr>
              <w:t xml:space="preserve"> and members of the Professional Services’ teams most impacted by this legislation w</w:t>
            </w:r>
            <w:r w:rsidR="00DD65D2">
              <w:rPr>
                <w:rFonts w:ascii="Calibri" w:hAnsi="Calibri" w:cs="Calibri"/>
              </w:rPr>
              <w:t>ere</w:t>
            </w:r>
            <w:r w:rsidRPr="0065714D">
              <w:rPr>
                <w:rFonts w:ascii="Calibri" w:hAnsi="Calibri" w:cs="Calibri"/>
              </w:rPr>
              <w:t xml:space="preserve"> asked to:</w:t>
            </w:r>
          </w:p>
          <w:p w14:paraId="5B633742" w14:textId="77777777" w:rsidR="005B6FA9" w:rsidRPr="0065714D" w:rsidRDefault="005B6FA9" w:rsidP="00E23907">
            <w:pPr>
              <w:ind w:left="48"/>
              <w:rPr>
                <w:rFonts w:ascii="Calibri" w:hAnsi="Calibri" w:cs="Calibri"/>
              </w:rPr>
            </w:pPr>
          </w:p>
          <w:p w14:paraId="084BC721" w14:textId="6AD2E08E" w:rsidR="005B6FA9" w:rsidRPr="0065714D" w:rsidRDefault="005B6FA9" w:rsidP="00E23907">
            <w:pPr>
              <w:pStyle w:val="ListParagraph"/>
              <w:numPr>
                <w:ilvl w:val="0"/>
                <w:numId w:val="8"/>
              </w:numPr>
              <w:ind w:left="332" w:hanging="284"/>
              <w:rPr>
                <w:rFonts w:ascii="Calibri" w:hAnsi="Calibri" w:cs="Calibri"/>
              </w:rPr>
            </w:pPr>
            <w:r w:rsidRPr="0065714D">
              <w:rPr>
                <w:rFonts w:ascii="Calibri" w:hAnsi="Calibri" w:cs="Calibri"/>
              </w:rPr>
              <w:t>highlight likely issues and impacts in their areas</w:t>
            </w:r>
          </w:p>
          <w:p w14:paraId="5E2302E5" w14:textId="77777777" w:rsidR="005B6FA9" w:rsidRPr="0065714D" w:rsidRDefault="005B6FA9" w:rsidP="00E23907">
            <w:pPr>
              <w:pStyle w:val="ListParagraph"/>
              <w:numPr>
                <w:ilvl w:val="0"/>
                <w:numId w:val="8"/>
              </w:numPr>
              <w:ind w:left="332" w:hanging="284"/>
              <w:rPr>
                <w:rFonts w:ascii="Calibri" w:hAnsi="Calibri" w:cs="Calibri"/>
              </w:rPr>
            </w:pPr>
            <w:r w:rsidRPr="0065714D">
              <w:rPr>
                <w:rFonts w:ascii="Calibri" w:hAnsi="Calibri" w:cs="Calibri"/>
              </w:rPr>
              <w:t>determine the actions required to respond adequately to the legislative requirements</w:t>
            </w:r>
          </w:p>
          <w:p w14:paraId="0032F718" w14:textId="16CBE580" w:rsidR="005B6FA9" w:rsidRPr="0065714D" w:rsidRDefault="00DD65D2" w:rsidP="00E23907">
            <w:pPr>
              <w:pStyle w:val="ListParagraph"/>
              <w:numPr>
                <w:ilvl w:val="0"/>
                <w:numId w:val="8"/>
              </w:numPr>
              <w:ind w:left="332" w:hanging="284"/>
              <w:rPr>
                <w:rFonts w:ascii="Calibri" w:hAnsi="Calibri" w:cs="Calibri"/>
              </w:rPr>
            </w:pPr>
            <w:r>
              <w:rPr>
                <w:rFonts w:ascii="Calibri" w:hAnsi="Calibri" w:cs="Calibri"/>
              </w:rPr>
              <w:t xml:space="preserve">propose </w:t>
            </w:r>
            <w:r w:rsidR="005B6FA9" w:rsidRPr="0065714D">
              <w:rPr>
                <w:rFonts w:ascii="Calibri" w:hAnsi="Calibri" w:cs="Calibri"/>
              </w:rPr>
              <w:t>the internal process.</w:t>
            </w:r>
          </w:p>
          <w:p w14:paraId="3E3DF669" w14:textId="77777777" w:rsidR="005B6FA9" w:rsidRPr="0065714D" w:rsidRDefault="005B6FA9" w:rsidP="00E23907">
            <w:pPr>
              <w:ind w:left="48"/>
              <w:rPr>
                <w:rFonts w:ascii="Calibri" w:hAnsi="Calibri" w:cs="Calibri"/>
              </w:rPr>
            </w:pPr>
          </w:p>
        </w:tc>
        <w:tc>
          <w:tcPr>
            <w:tcW w:w="2642" w:type="dxa"/>
          </w:tcPr>
          <w:p w14:paraId="6A22F7CE" w14:textId="3074516B" w:rsidR="005B6FA9" w:rsidRPr="0065714D" w:rsidRDefault="005B6FA9" w:rsidP="00E23907">
            <w:pPr>
              <w:rPr>
                <w:rFonts w:ascii="Calibri" w:hAnsi="Calibri" w:cs="Calibri"/>
              </w:rPr>
            </w:pPr>
            <w:r w:rsidRPr="0065714D">
              <w:rPr>
                <w:rFonts w:ascii="Calibri" w:hAnsi="Calibri" w:cs="Calibri"/>
              </w:rPr>
              <w:t>In parallel with this work, comms raising awareness of FIRS and</w:t>
            </w:r>
            <w:proofErr w:type="gramStart"/>
            <w:r w:rsidRPr="0065714D">
              <w:rPr>
                <w:rFonts w:ascii="Calibri" w:hAnsi="Calibri" w:cs="Calibri"/>
              </w:rPr>
              <w:t>, in particular, that</w:t>
            </w:r>
            <w:proofErr w:type="gramEnd"/>
            <w:r w:rsidRPr="0065714D">
              <w:rPr>
                <w:rFonts w:ascii="Calibri" w:hAnsi="Calibri" w:cs="Calibri"/>
              </w:rPr>
              <w:t xml:space="preserve"> it applies from 1 July onwards, will be disseminated to staff and students</w:t>
            </w:r>
            <w:r>
              <w:rPr>
                <w:rFonts w:ascii="Calibri" w:hAnsi="Calibri" w:cs="Calibri"/>
              </w:rPr>
              <w:t>.</w:t>
            </w:r>
          </w:p>
        </w:tc>
      </w:tr>
      <w:tr w:rsidR="005B6FA9" w:rsidRPr="0065714D" w14:paraId="4BFF1B7D" w14:textId="77777777" w:rsidTr="00E23907">
        <w:tc>
          <w:tcPr>
            <w:tcW w:w="548" w:type="dxa"/>
          </w:tcPr>
          <w:p w14:paraId="689A2953" w14:textId="77777777" w:rsidR="005B6FA9" w:rsidRPr="0065714D" w:rsidRDefault="005B6FA9" w:rsidP="00E23907">
            <w:pPr>
              <w:rPr>
                <w:rFonts w:ascii="Calibri" w:hAnsi="Calibri" w:cs="Calibri"/>
              </w:rPr>
            </w:pPr>
            <w:r w:rsidRPr="0065714D">
              <w:rPr>
                <w:rFonts w:ascii="Calibri" w:hAnsi="Calibri" w:cs="Calibri"/>
              </w:rPr>
              <w:lastRenderedPageBreak/>
              <w:t>2.</w:t>
            </w:r>
          </w:p>
        </w:tc>
        <w:tc>
          <w:tcPr>
            <w:tcW w:w="5826" w:type="dxa"/>
          </w:tcPr>
          <w:p w14:paraId="7D3044DE" w14:textId="77777777" w:rsidR="005B6FA9" w:rsidRPr="0065714D" w:rsidRDefault="005B6FA9" w:rsidP="00E23907">
            <w:pPr>
              <w:rPr>
                <w:rFonts w:ascii="Calibri" w:hAnsi="Calibri" w:cs="Calibri"/>
              </w:rPr>
            </w:pPr>
            <w:r w:rsidRPr="0065714D">
              <w:rPr>
                <w:rFonts w:ascii="Calibri" w:hAnsi="Calibri" w:cs="Calibri"/>
              </w:rPr>
              <w:t>The Group’s outputs will be relayed to the senior stakeholder group:</w:t>
            </w:r>
          </w:p>
          <w:p w14:paraId="3FCEF22F" w14:textId="77777777" w:rsidR="005B6FA9" w:rsidRPr="0065714D" w:rsidRDefault="005B6FA9" w:rsidP="00E23907">
            <w:pPr>
              <w:rPr>
                <w:rFonts w:ascii="Calibri" w:hAnsi="Calibri" w:cs="Calibri"/>
              </w:rPr>
            </w:pPr>
          </w:p>
          <w:p w14:paraId="012DC062" w14:textId="77777777" w:rsidR="005B6FA9" w:rsidRPr="0065714D" w:rsidRDefault="005B6FA9" w:rsidP="00E23907">
            <w:pPr>
              <w:rPr>
                <w:rFonts w:ascii="Calibri" w:hAnsi="Calibri" w:cs="Calibri"/>
              </w:rPr>
            </w:pPr>
            <w:r w:rsidRPr="0065714D">
              <w:rPr>
                <w:rFonts w:ascii="Calibri" w:hAnsi="Calibri" w:cs="Calibri"/>
              </w:rPr>
              <w:t>DVC &amp; Provost (chair)</w:t>
            </w:r>
          </w:p>
          <w:p w14:paraId="533A11C5" w14:textId="77777777" w:rsidR="005B6FA9" w:rsidRPr="0065714D" w:rsidRDefault="005B6FA9" w:rsidP="00E23907">
            <w:pPr>
              <w:rPr>
                <w:rFonts w:ascii="Calibri" w:hAnsi="Calibri" w:cs="Calibri"/>
              </w:rPr>
            </w:pPr>
            <w:r w:rsidRPr="0065714D">
              <w:rPr>
                <w:rFonts w:ascii="Calibri" w:hAnsi="Calibri" w:cs="Calibri"/>
              </w:rPr>
              <w:t>PVC (Education)</w:t>
            </w:r>
          </w:p>
          <w:p w14:paraId="75C885CF" w14:textId="77777777" w:rsidR="005B6FA9" w:rsidRPr="0065714D" w:rsidRDefault="005B6FA9" w:rsidP="00E23907">
            <w:pPr>
              <w:rPr>
                <w:rFonts w:ascii="Calibri" w:hAnsi="Calibri" w:cs="Calibri"/>
              </w:rPr>
            </w:pPr>
            <w:r w:rsidRPr="0065714D">
              <w:rPr>
                <w:rFonts w:ascii="Calibri" w:hAnsi="Calibri" w:cs="Calibri"/>
              </w:rPr>
              <w:t>PVC (Global Engagement)</w:t>
            </w:r>
          </w:p>
          <w:p w14:paraId="28C25A4D" w14:textId="77777777" w:rsidR="005B6FA9" w:rsidRPr="0065714D" w:rsidRDefault="005B6FA9" w:rsidP="00E23907">
            <w:pPr>
              <w:rPr>
                <w:rFonts w:ascii="Calibri" w:hAnsi="Calibri" w:cs="Calibri"/>
              </w:rPr>
            </w:pPr>
            <w:r w:rsidRPr="0065714D">
              <w:rPr>
                <w:rFonts w:ascii="Calibri" w:hAnsi="Calibri" w:cs="Calibri"/>
              </w:rPr>
              <w:t>PVC (Research &amp; Innovation)</w:t>
            </w:r>
          </w:p>
          <w:p w14:paraId="430EF871" w14:textId="77777777" w:rsidR="005B6FA9" w:rsidRPr="0065714D" w:rsidRDefault="005B6FA9" w:rsidP="00E23907">
            <w:pPr>
              <w:rPr>
                <w:rFonts w:ascii="Calibri" w:hAnsi="Calibri" w:cs="Calibri"/>
              </w:rPr>
            </w:pPr>
            <w:r w:rsidRPr="0065714D">
              <w:rPr>
                <w:rFonts w:ascii="Calibri" w:hAnsi="Calibri" w:cs="Calibri"/>
              </w:rPr>
              <w:t>PVC (Student Experience)</w:t>
            </w:r>
          </w:p>
          <w:p w14:paraId="305DD0EE" w14:textId="77777777" w:rsidR="005B6FA9" w:rsidRPr="0065714D" w:rsidRDefault="005B6FA9" w:rsidP="00E23907">
            <w:pPr>
              <w:rPr>
                <w:rFonts w:ascii="Calibri" w:hAnsi="Calibri" w:cs="Calibri"/>
              </w:rPr>
            </w:pPr>
            <w:r w:rsidRPr="0065714D">
              <w:rPr>
                <w:rFonts w:ascii="Calibri" w:hAnsi="Calibri" w:cs="Calibri"/>
              </w:rPr>
              <w:t>Director of HR</w:t>
            </w:r>
          </w:p>
          <w:p w14:paraId="1A25180D" w14:textId="77777777" w:rsidR="005B6FA9" w:rsidRPr="0065714D" w:rsidRDefault="005B6FA9" w:rsidP="00E23907">
            <w:pPr>
              <w:rPr>
                <w:rFonts w:ascii="Calibri" w:hAnsi="Calibri" w:cs="Calibri"/>
              </w:rPr>
            </w:pPr>
            <w:r w:rsidRPr="0065714D">
              <w:rPr>
                <w:rFonts w:ascii="Calibri" w:hAnsi="Calibri" w:cs="Calibri"/>
              </w:rPr>
              <w:t>Deans</w:t>
            </w:r>
          </w:p>
          <w:p w14:paraId="1C18592E" w14:textId="77777777" w:rsidR="005B6FA9" w:rsidRPr="005B6FA9" w:rsidRDefault="005B6FA9" w:rsidP="00E23907">
            <w:pPr>
              <w:rPr>
                <w:rFonts w:ascii="Calibri" w:hAnsi="Calibri" w:cs="Calibri"/>
              </w:rPr>
            </w:pPr>
            <w:r w:rsidRPr="0065714D">
              <w:rPr>
                <w:rFonts w:ascii="Calibri" w:hAnsi="Calibri" w:cs="Calibri"/>
              </w:rPr>
              <w:t xml:space="preserve">CEO, </w:t>
            </w:r>
            <w:r w:rsidRPr="005B6FA9">
              <w:rPr>
                <w:rFonts w:ascii="Calibri" w:hAnsi="Calibri" w:cs="Calibri"/>
              </w:rPr>
              <w:t>Students’ Union</w:t>
            </w:r>
          </w:p>
          <w:p w14:paraId="4D21733E" w14:textId="77777777" w:rsidR="005B6FA9" w:rsidRPr="0065714D" w:rsidRDefault="005B6FA9" w:rsidP="00E84F10">
            <w:pPr>
              <w:rPr>
                <w:rFonts w:ascii="Calibri" w:hAnsi="Calibri" w:cs="Calibri"/>
              </w:rPr>
            </w:pPr>
          </w:p>
        </w:tc>
        <w:tc>
          <w:tcPr>
            <w:tcW w:w="2642" w:type="dxa"/>
          </w:tcPr>
          <w:p w14:paraId="174EED04" w14:textId="77777777" w:rsidR="005B6FA9" w:rsidRPr="0065714D" w:rsidRDefault="005B6FA9" w:rsidP="00E23907">
            <w:pPr>
              <w:rPr>
                <w:rFonts w:ascii="Calibri" w:hAnsi="Calibri" w:cs="Calibri"/>
              </w:rPr>
            </w:pPr>
          </w:p>
          <w:p w14:paraId="49E75D9D" w14:textId="77777777" w:rsidR="005B6FA9" w:rsidRPr="0065714D" w:rsidRDefault="005B6FA9" w:rsidP="00E23907">
            <w:pPr>
              <w:rPr>
                <w:rFonts w:ascii="Calibri" w:hAnsi="Calibri" w:cs="Calibri"/>
              </w:rPr>
            </w:pPr>
            <w:r w:rsidRPr="0065714D">
              <w:rPr>
                <w:rFonts w:ascii="Calibri" w:hAnsi="Calibri" w:cs="Calibri"/>
              </w:rPr>
              <w:t>After the senior stakeholders have commented on the proposed process, comms to be circulated to the Leadership Forum outlining the proposed process and the next steps.</w:t>
            </w:r>
          </w:p>
        </w:tc>
      </w:tr>
      <w:tr w:rsidR="005B6FA9" w:rsidRPr="0065714D" w14:paraId="58090B8B" w14:textId="77777777" w:rsidTr="00E23907">
        <w:tc>
          <w:tcPr>
            <w:tcW w:w="548" w:type="dxa"/>
          </w:tcPr>
          <w:p w14:paraId="14CE60E1" w14:textId="77777777" w:rsidR="005B6FA9" w:rsidRPr="0065714D" w:rsidRDefault="005B6FA9" w:rsidP="00E23907">
            <w:pPr>
              <w:rPr>
                <w:rFonts w:ascii="Calibri" w:hAnsi="Calibri" w:cs="Calibri"/>
              </w:rPr>
            </w:pPr>
            <w:r w:rsidRPr="0065714D">
              <w:rPr>
                <w:rFonts w:ascii="Calibri" w:hAnsi="Calibri" w:cs="Calibri"/>
              </w:rPr>
              <w:t>3.</w:t>
            </w:r>
          </w:p>
        </w:tc>
        <w:tc>
          <w:tcPr>
            <w:tcW w:w="5826" w:type="dxa"/>
          </w:tcPr>
          <w:p w14:paraId="4C6762BE" w14:textId="77777777" w:rsidR="005B6FA9" w:rsidRPr="0065714D" w:rsidRDefault="005B6FA9" w:rsidP="00E23907">
            <w:pPr>
              <w:ind w:left="720" w:hanging="720"/>
              <w:rPr>
                <w:rFonts w:ascii="Calibri" w:hAnsi="Calibri" w:cs="Calibri"/>
              </w:rPr>
            </w:pPr>
            <w:r w:rsidRPr="0065714D">
              <w:rPr>
                <w:rFonts w:ascii="Calibri" w:hAnsi="Calibri" w:cs="Calibri"/>
              </w:rPr>
              <w:t xml:space="preserve">The process will be communicated to the wider </w:t>
            </w:r>
          </w:p>
          <w:p w14:paraId="3543E60C" w14:textId="77777777" w:rsidR="005B6FA9" w:rsidRPr="0065714D" w:rsidRDefault="005B6FA9" w:rsidP="00E23907">
            <w:pPr>
              <w:ind w:left="720" w:hanging="720"/>
              <w:rPr>
                <w:rFonts w:ascii="Calibri" w:hAnsi="Calibri" w:cs="Calibri"/>
              </w:rPr>
            </w:pPr>
            <w:r w:rsidRPr="0065714D">
              <w:rPr>
                <w:rFonts w:ascii="Calibri" w:hAnsi="Calibri" w:cs="Calibri"/>
              </w:rPr>
              <w:t>University community (staff and students)</w:t>
            </w:r>
          </w:p>
          <w:p w14:paraId="08DD17BB" w14:textId="77777777" w:rsidR="005B6FA9" w:rsidRPr="0065714D" w:rsidRDefault="005B6FA9" w:rsidP="00E23907">
            <w:pPr>
              <w:ind w:left="720" w:hanging="720"/>
              <w:rPr>
                <w:rFonts w:ascii="Calibri" w:hAnsi="Calibri" w:cs="Calibri"/>
              </w:rPr>
            </w:pPr>
          </w:p>
        </w:tc>
        <w:tc>
          <w:tcPr>
            <w:tcW w:w="2642" w:type="dxa"/>
          </w:tcPr>
          <w:p w14:paraId="24E40B58" w14:textId="77777777" w:rsidR="005B6FA9" w:rsidRPr="0065714D" w:rsidRDefault="005B6FA9" w:rsidP="00E23907">
            <w:pPr>
              <w:rPr>
                <w:rFonts w:ascii="Calibri" w:hAnsi="Calibri" w:cs="Calibri"/>
              </w:rPr>
            </w:pPr>
            <w:r w:rsidRPr="0065714D">
              <w:rPr>
                <w:rFonts w:ascii="Calibri" w:hAnsi="Calibri" w:cs="Calibri"/>
              </w:rPr>
              <w:t>Communication to other stakeholders to consult on proposed process before implementation.</w:t>
            </w:r>
          </w:p>
          <w:p w14:paraId="5B940177" w14:textId="77777777" w:rsidR="005B6FA9" w:rsidRPr="0065714D" w:rsidRDefault="005B6FA9" w:rsidP="00E23907">
            <w:pPr>
              <w:rPr>
                <w:rFonts w:ascii="Calibri" w:hAnsi="Calibri" w:cs="Calibri"/>
              </w:rPr>
            </w:pPr>
          </w:p>
        </w:tc>
      </w:tr>
    </w:tbl>
    <w:p w14:paraId="3A9D7C3A" w14:textId="77777777" w:rsidR="005B6FA9" w:rsidRPr="0065714D" w:rsidRDefault="005B6FA9" w:rsidP="005B6FA9">
      <w:pPr>
        <w:tabs>
          <w:tab w:val="left" w:pos="930"/>
        </w:tabs>
        <w:spacing w:after="0" w:line="240" w:lineRule="auto"/>
        <w:rPr>
          <w:rFonts w:ascii="Calibri" w:hAnsi="Calibri" w:cs="Calibri"/>
        </w:rPr>
      </w:pPr>
    </w:p>
    <w:p w14:paraId="35BEE108" w14:textId="15A1305F" w:rsidR="005A67FB" w:rsidRPr="0065714D" w:rsidRDefault="005A67FB" w:rsidP="005B6FA9">
      <w:pPr>
        <w:tabs>
          <w:tab w:val="left" w:pos="930"/>
        </w:tabs>
        <w:spacing w:after="0" w:line="240" w:lineRule="auto"/>
        <w:rPr>
          <w:rFonts w:ascii="Calibri" w:hAnsi="Calibri" w:cs="Calibri"/>
        </w:rPr>
      </w:pPr>
      <w:r w:rsidRPr="0065714D">
        <w:rPr>
          <w:rFonts w:ascii="Calibri" w:hAnsi="Calibri" w:cs="Calibri"/>
          <w:b/>
          <w:bCs/>
        </w:rPr>
        <w:t>Further information</w:t>
      </w:r>
    </w:p>
    <w:p w14:paraId="4A1AC83F" w14:textId="77777777" w:rsidR="00C374DE" w:rsidRPr="0065714D" w:rsidRDefault="00C374DE" w:rsidP="005B6FA9">
      <w:pPr>
        <w:tabs>
          <w:tab w:val="left" w:pos="930"/>
        </w:tabs>
        <w:spacing w:after="0" w:line="240" w:lineRule="auto"/>
        <w:rPr>
          <w:rFonts w:ascii="Calibri" w:hAnsi="Calibri" w:cs="Calibri"/>
        </w:rPr>
      </w:pPr>
    </w:p>
    <w:p w14:paraId="03D56CA3" w14:textId="00BFA2C1" w:rsidR="00C374DE" w:rsidRPr="0065714D" w:rsidRDefault="00C374DE" w:rsidP="005B6FA9">
      <w:pPr>
        <w:tabs>
          <w:tab w:val="left" w:pos="930"/>
        </w:tabs>
        <w:spacing w:after="0" w:line="240" w:lineRule="auto"/>
        <w:rPr>
          <w:rFonts w:ascii="Calibri" w:hAnsi="Calibri" w:cs="Calibri"/>
        </w:rPr>
      </w:pPr>
      <w:hyperlink r:id="rId11" w:history="1">
        <w:proofErr w:type="spellStart"/>
        <w:r w:rsidRPr="006D45E0">
          <w:rPr>
            <w:rStyle w:val="Hyperlink"/>
            <w:rFonts w:ascii="Calibri" w:hAnsi="Calibri" w:cs="Calibri"/>
          </w:rPr>
          <w:t>WonkHE</w:t>
        </w:r>
        <w:proofErr w:type="spellEnd"/>
        <w:r w:rsidRPr="006D45E0">
          <w:rPr>
            <w:rStyle w:val="Hyperlink"/>
            <w:rFonts w:ascii="Calibri" w:hAnsi="Calibri" w:cs="Calibri"/>
          </w:rPr>
          <w:t xml:space="preserve"> outlin</w:t>
        </w:r>
        <w:r w:rsidR="005B11EC" w:rsidRPr="006D45E0">
          <w:rPr>
            <w:rStyle w:val="Hyperlink"/>
            <w:rFonts w:ascii="Calibri" w:hAnsi="Calibri" w:cs="Calibri"/>
          </w:rPr>
          <w:t>ing</w:t>
        </w:r>
        <w:r w:rsidRPr="006D45E0">
          <w:rPr>
            <w:rStyle w:val="Hyperlink"/>
            <w:rFonts w:ascii="Calibri" w:hAnsi="Calibri" w:cs="Calibri"/>
          </w:rPr>
          <w:t xml:space="preserve"> requirements and some challenges for the sector</w:t>
        </w:r>
      </w:hyperlink>
    </w:p>
    <w:p w14:paraId="1CB1F8BA" w14:textId="77777777" w:rsidR="00C211C8" w:rsidRPr="0065714D" w:rsidRDefault="00C211C8" w:rsidP="005B6FA9">
      <w:pPr>
        <w:tabs>
          <w:tab w:val="left" w:pos="930"/>
        </w:tabs>
        <w:spacing w:after="0" w:line="240" w:lineRule="auto"/>
        <w:rPr>
          <w:rFonts w:ascii="Calibri" w:hAnsi="Calibri" w:cs="Calibri"/>
        </w:rPr>
      </w:pPr>
    </w:p>
    <w:p w14:paraId="13F55989" w14:textId="77777777" w:rsidR="00C211C8" w:rsidRPr="0065714D" w:rsidRDefault="00C211C8" w:rsidP="005B6FA9">
      <w:pPr>
        <w:pStyle w:val="ListParagraph"/>
        <w:tabs>
          <w:tab w:val="left" w:pos="930"/>
        </w:tabs>
        <w:spacing w:after="0" w:line="240" w:lineRule="auto"/>
        <w:ind w:left="0"/>
        <w:rPr>
          <w:rFonts w:ascii="Calibri" w:hAnsi="Calibri" w:cs="Calibri"/>
        </w:rPr>
      </w:pPr>
      <w:hyperlink r:id="rId12" w:history="1">
        <w:r w:rsidRPr="0065714D">
          <w:rPr>
            <w:rStyle w:val="Hyperlink"/>
            <w:rFonts w:ascii="Calibri" w:hAnsi="Calibri" w:cs="Calibri"/>
          </w:rPr>
          <w:t>Sector-specific guidance on the Foreign Influence Registration Scheme (FIRS): academia and research sector (accessible version) - GOV.UK</w:t>
        </w:r>
      </w:hyperlink>
    </w:p>
    <w:p w14:paraId="1B1580EB" w14:textId="77777777" w:rsidR="00CD3F6C" w:rsidRPr="0065714D" w:rsidRDefault="00CD3F6C" w:rsidP="005B6FA9">
      <w:pPr>
        <w:tabs>
          <w:tab w:val="left" w:pos="930"/>
        </w:tabs>
        <w:spacing w:after="0" w:line="240" w:lineRule="auto"/>
        <w:rPr>
          <w:rFonts w:ascii="Calibri" w:hAnsi="Calibri" w:cs="Calibri"/>
        </w:rPr>
      </w:pPr>
    </w:p>
    <w:p w14:paraId="46668792" w14:textId="5CA7713C" w:rsidR="00C374DE" w:rsidRPr="0065714D" w:rsidRDefault="004853C8" w:rsidP="005B6FA9">
      <w:pPr>
        <w:pStyle w:val="ListParagraph"/>
        <w:tabs>
          <w:tab w:val="left" w:pos="930"/>
        </w:tabs>
        <w:spacing w:after="0" w:line="240" w:lineRule="auto"/>
        <w:ind w:left="0"/>
        <w:rPr>
          <w:rFonts w:ascii="Calibri" w:hAnsi="Calibri" w:cs="Calibri"/>
        </w:rPr>
      </w:pPr>
      <w:hyperlink r:id="rId13" w:history="1">
        <w:r w:rsidRPr="0065714D">
          <w:rPr>
            <w:rStyle w:val="Hyperlink"/>
            <w:rFonts w:ascii="Calibri" w:hAnsi="Calibri" w:cs="Calibri"/>
          </w:rPr>
          <w:t>Full details of the scheme</w:t>
        </w:r>
        <w:r w:rsidR="00C374DE" w:rsidRPr="0065714D">
          <w:rPr>
            <w:rStyle w:val="Hyperlink"/>
            <w:rFonts w:ascii="Calibri" w:hAnsi="Calibri" w:cs="Calibri"/>
          </w:rPr>
          <w:t xml:space="preserve"> – GOV.UK</w:t>
        </w:r>
      </w:hyperlink>
    </w:p>
    <w:p w14:paraId="5E457845" w14:textId="77777777" w:rsidR="00C211C8" w:rsidRPr="0065714D" w:rsidRDefault="00C211C8" w:rsidP="005B6FA9">
      <w:pPr>
        <w:pStyle w:val="ListParagraph"/>
        <w:tabs>
          <w:tab w:val="left" w:pos="930"/>
        </w:tabs>
        <w:spacing w:after="0" w:line="240" w:lineRule="auto"/>
        <w:ind w:left="0"/>
        <w:rPr>
          <w:rFonts w:ascii="Calibri" w:hAnsi="Calibri" w:cs="Calibri"/>
        </w:rPr>
      </w:pPr>
    </w:p>
    <w:p w14:paraId="54F8F3DC" w14:textId="66A80755" w:rsidR="009D5F13" w:rsidRPr="0065714D" w:rsidRDefault="00C211C8" w:rsidP="005B6FA9">
      <w:pPr>
        <w:pStyle w:val="ListParagraph"/>
        <w:tabs>
          <w:tab w:val="left" w:pos="930"/>
        </w:tabs>
        <w:spacing w:after="0" w:line="240" w:lineRule="auto"/>
        <w:ind w:left="0"/>
        <w:rPr>
          <w:rFonts w:ascii="Calibri" w:hAnsi="Calibri" w:cs="Calibri"/>
        </w:rPr>
      </w:pPr>
      <w:hyperlink r:id="rId14" w:history="1">
        <w:r w:rsidRPr="006D45E0">
          <w:rPr>
            <w:rStyle w:val="Hyperlink"/>
            <w:rFonts w:ascii="Calibri" w:hAnsi="Calibri" w:cs="Calibri"/>
          </w:rPr>
          <w:t>A short factsheet on the scheme, including FAQs – GOV.UK</w:t>
        </w:r>
      </w:hyperlink>
    </w:p>
    <w:p w14:paraId="534C4043" w14:textId="77777777" w:rsidR="00C211C8" w:rsidRPr="0065714D" w:rsidRDefault="00C211C8" w:rsidP="005B6FA9">
      <w:pPr>
        <w:pStyle w:val="ListParagraph"/>
        <w:tabs>
          <w:tab w:val="left" w:pos="930"/>
        </w:tabs>
        <w:spacing w:after="0" w:line="240" w:lineRule="auto"/>
        <w:ind w:left="0"/>
        <w:rPr>
          <w:rFonts w:ascii="Calibri" w:hAnsi="Calibri" w:cs="Calibri"/>
        </w:rPr>
      </w:pPr>
    </w:p>
    <w:p w14:paraId="32CE256D" w14:textId="77777777" w:rsidR="00C211C8" w:rsidRPr="0065714D" w:rsidRDefault="00C211C8" w:rsidP="005B6FA9">
      <w:pPr>
        <w:pStyle w:val="ListParagraph"/>
        <w:tabs>
          <w:tab w:val="left" w:pos="930"/>
        </w:tabs>
        <w:spacing w:after="0" w:line="240" w:lineRule="auto"/>
        <w:ind w:left="0"/>
        <w:rPr>
          <w:rFonts w:ascii="Calibri" w:hAnsi="Calibri" w:cs="Calibri"/>
        </w:rPr>
      </w:pPr>
      <w:hyperlink r:id="rId15" w:history="1">
        <w:r w:rsidRPr="0065714D">
          <w:rPr>
            <w:rStyle w:val="Hyperlink"/>
            <w:rFonts w:ascii="Calibri" w:hAnsi="Calibri" w:cs="Calibri"/>
          </w:rPr>
          <w:t>Information required during registration (inc. what is published / retained) – GOV.UK</w:t>
        </w:r>
      </w:hyperlink>
    </w:p>
    <w:p w14:paraId="2FA4539A" w14:textId="77777777" w:rsidR="00C374DE" w:rsidRPr="0065714D" w:rsidRDefault="00C374DE" w:rsidP="005B6FA9">
      <w:pPr>
        <w:pStyle w:val="ListParagraph"/>
        <w:tabs>
          <w:tab w:val="left" w:pos="930"/>
        </w:tabs>
        <w:spacing w:after="0" w:line="240" w:lineRule="auto"/>
        <w:ind w:left="0"/>
        <w:rPr>
          <w:rFonts w:ascii="Calibri" w:hAnsi="Calibri" w:cs="Calibri"/>
        </w:rPr>
      </w:pPr>
    </w:p>
    <w:p w14:paraId="41521F7B" w14:textId="354B3FBD" w:rsidR="00C374DE" w:rsidRPr="0065714D" w:rsidRDefault="00C374DE" w:rsidP="005B6FA9">
      <w:pPr>
        <w:pStyle w:val="ListParagraph"/>
        <w:tabs>
          <w:tab w:val="left" w:pos="930"/>
        </w:tabs>
        <w:spacing w:after="0" w:line="240" w:lineRule="auto"/>
        <w:ind w:left="0"/>
        <w:rPr>
          <w:rFonts w:ascii="Calibri" w:hAnsi="Calibri" w:cs="Calibri"/>
        </w:rPr>
      </w:pPr>
      <w:hyperlink r:id="rId16" w:history="1">
        <w:r w:rsidRPr="006D45E0">
          <w:rPr>
            <w:rStyle w:val="Hyperlink"/>
            <w:rFonts w:ascii="Calibri" w:hAnsi="Calibri" w:cs="Calibri"/>
          </w:rPr>
          <w:t>Guidance on countries and organisations in the Enhanced Tier – GOV.UK</w:t>
        </w:r>
      </w:hyperlink>
    </w:p>
    <w:p w14:paraId="4C3F2DC4" w14:textId="77777777" w:rsidR="00C374DE" w:rsidRPr="0065714D" w:rsidRDefault="00C374DE" w:rsidP="005B6FA9">
      <w:pPr>
        <w:pStyle w:val="ListParagraph"/>
        <w:tabs>
          <w:tab w:val="left" w:pos="930"/>
        </w:tabs>
        <w:spacing w:after="0" w:line="240" w:lineRule="auto"/>
        <w:ind w:left="0"/>
        <w:rPr>
          <w:rFonts w:ascii="Calibri" w:hAnsi="Calibri" w:cs="Calibri"/>
        </w:rPr>
      </w:pPr>
    </w:p>
    <w:p w14:paraId="09450F9C" w14:textId="56607B54" w:rsidR="007C0885" w:rsidRPr="0065714D" w:rsidRDefault="007C0885" w:rsidP="005B6FA9">
      <w:pPr>
        <w:pStyle w:val="ListParagraph"/>
        <w:tabs>
          <w:tab w:val="left" w:pos="930"/>
        </w:tabs>
        <w:spacing w:after="0" w:line="240" w:lineRule="auto"/>
        <w:ind w:left="0"/>
        <w:rPr>
          <w:rStyle w:val="Hyperlink"/>
          <w:rFonts w:ascii="Calibri" w:hAnsi="Calibri" w:cs="Calibri"/>
        </w:rPr>
      </w:pPr>
      <w:hyperlink r:id="rId17" w:history="1">
        <w:r w:rsidRPr="006D45E0">
          <w:rPr>
            <w:rStyle w:val="Hyperlink"/>
            <w:rFonts w:ascii="Calibri" w:hAnsi="Calibri" w:cs="Calibri"/>
          </w:rPr>
          <w:t>Guidance on the Foreign Influence Registration Scheme: political influence tier (accessible version) - GOV.UK</w:t>
        </w:r>
      </w:hyperlink>
    </w:p>
    <w:p w14:paraId="3314EFC7" w14:textId="77777777" w:rsidR="0078146E" w:rsidRPr="0065714D" w:rsidRDefault="0078146E" w:rsidP="005B6FA9">
      <w:pPr>
        <w:pStyle w:val="ListParagraph"/>
        <w:tabs>
          <w:tab w:val="left" w:pos="930"/>
        </w:tabs>
        <w:spacing w:after="0" w:line="240" w:lineRule="auto"/>
        <w:ind w:left="0"/>
        <w:rPr>
          <w:rFonts w:ascii="Calibri" w:hAnsi="Calibri" w:cs="Calibri"/>
        </w:rPr>
      </w:pPr>
    </w:p>
    <w:p w14:paraId="7547423A" w14:textId="3C35A275" w:rsidR="0078146E" w:rsidRPr="0065714D" w:rsidRDefault="007C0885" w:rsidP="005B6FA9">
      <w:pPr>
        <w:pStyle w:val="ListParagraph"/>
        <w:tabs>
          <w:tab w:val="left" w:pos="930"/>
        </w:tabs>
        <w:spacing w:after="0" w:line="240" w:lineRule="auto"/>
        <w:ind w:left="0"/>
        <w:rPr>
          <w:rStyle w:val="Hyperlink"/>
          <w:rFonts w:ascii="Calibri" w:hAnsi="Calibri" w:cs="Calibri"/>
        </w:rPr>
      </w:pPr>
      <w:hyperlink r:id="rId18" w:history="1">
        <w:r w:rsidRPr="0065714D">
          <w:rPr>
            <w:rStyle w:val="Hyperlink"/>
            <w:rFonts w:ascii="Calibri" w:hAnsi="Calibri" w:cs="Calibri"/>
          </w:rPr>
          <w:t>Guidance on the Foreign Influence Registration Scheme: enhanced tier (accessible version) - GOV.UK</w:t>
        </w:r>
      </w:hyperlink>
    </w:p>
    <w:p w14:paraId="6DFF8A33" w14:textId="77777777" w:rsidR="002075BF" w:rsidRPr="0065714D" w:rsidRDefault="002075BF" w:rsidP="005B6FA9">
      <w:pPr>
        <w:pStyle w:val="ListParagraph"/>
        <w:pBdr>
          <w:bottom w:val="single" w:sz="12" w:space="1" w:color="auto"/>
        </w:pBdr>
        <w:tabs>
          <w:tab w:val="left" w:pos="930"/>
        </w:tabs>
        <w:spacing w:after="0" w:line="240" w:lineRule="auto"/>
        <w:ind w:left="0"/>
        <w:jc w:val="right"/>
        <w:rPr>
          <w:rFonts w:ascii="Calibri" w:hAnsi="Calibri" w:cs="Calibri"/>
          <w:sz w:val="18"/>
          <w:szCs w:val="18"/>
        </w:rPr>
      </w:pPr>
    </w:p>
    <w:p w14:paraId="7249DC97" w14:textId="77777777" w:rsidR="00C374DE" w:rsidRPr="0065714D" w:rsidRDefault="00C374DE" w:rsidP="005B6FA9">
      <w:pPr>
        <w:tabs>
          <w:tab w:val="left" w:pos="930"/>
        </w:tabs>
        <w:spacing w:after="0" w:line="240" w:lineRule="auto"/>
        <w:rPr>
          <w:rFonts w:ascii="Calibri" w:hAnsi="Calibri" w:cs="Calibri"/>
        </w:rPr>
      </w:pPr>
    </w:p>
    <w:p w14:paraId="4C6F1F02" w14:textId="65AFA058" w:rsidR="00C20F90" w:rsidRPr="0065714D" w:rsidRDefault="00C20F90" w:rsidP="005B6FA9">
      <w:pPr>
        <w:tabs>
          <w:tab w:val="left" w:pos="930"/>
        </w:tabs>
        <w:spacing w:after="0" w:line="240" w:lineRule="auto"/>
        <w:rPr>
          <w:rFonts w:ascii="Calibri" w:hAnsi="Calibri" w:cs="Calibri"/>
          <w:b/>
          <w:bCs/>
        </w:rPr>
      </w:pPr>
      <w:r w:rsidRPr="0065714D">
        <w:rPr>
          <w:rFonts w:ascii="Calibri" w:hAnsi="Calibri" w:cs="Calibri"/>
          <w:b/>
          <w:bCs/>
        </w:rPr>
        <w:t>If you have any questions about the scheme</w:t>
      </w:r>
      <w:r w:rsidR="009262BC" w:rsidRPr="0065714D">
        <w:rPr>
          <w:rFonts w:ascii="Calibri" w:hAnsi="Calibri" w:cs="Calibri"/>
          <w:b/>
          <w:bCs/>
        </w:rPr>
        <w:t>,</w:t>
      </w:r>
      <w:r w:rsidRPr="0065714D">
        <w:rPr>
          <w:rFonts w:ascii="Calibri" w:hAnsi="Calibri" w:cs="Calibri"/>
          <w:b/>
          <w:bCs/>
        </w:rPr>
        <w:t xml:space="preserve"> please </w:t>
      </w:r>
      <w:r w:rsidR="00B47E5B">
        <w:rPr>
          <w:rFonts w:ascii="Calibri" w:hAnsi="Calibri" w:cs="Calibri"/>
          <w:b/>
          <w:bCs/>
        </w:rPr>
        <w:t xml:space="preserve">email </w:t>
      </w:r>
      <w:hyperlink r:id="rId19" w:history="1">
        <w:r w:rsidR="00F50FA1" w:rsidRPr="00C00AA8">
          <w:rPr>
            <w:rStyle w:val="Hyperlink"/>
            <w:rFonts w:ascii="Calibri" w:hAnsi="Calibri" w:cs="Calibri"/>
            <w:b/>
            <w:bCs/>
          </w:rPr>
          <w:t>FIRS@bath.ac.uk</w:t>
        </w:r>
      </w:hyperlink>
      <w:r w:rsidR="00F50FA1">
        <w:rPr>
          <w:rFonts w:ascii="Calibri" w:hAnsi="Calibri" w:cs="Calibri"/>
          <w:b/>
          <w:bCs/>
        </w:rPr>
        <w:t xml:space="preserve"> </w:t>
      </w:r>
    </w:p>
    <w:p w14:paraId="668184AA" w14:textId="635B132B" w:rsidR="00BA6B82" w:rsidRPr="0065714D" w:rsidRDefault="00BA6B82" w:rsidP="005B6FA9">
      <w:pPr>
        <w:pStyle w:val="ListParagraph"/>
        <w:pBdr>
          <w:bottom w:val="single" w:sz="12" w:space="1" w:color="auto"/>
        </w:pBdr>
        <w:tabs>
          <w:tab w:val="left" w:pos="930"/>
        </w:tabs>
        <w:spacing w:after="0" w:line="240" w:lineRule="auto"/>
        <w:ind w:left="0"/>
        <w:jc w:val="right"/>
        <w:rPr>
          <w:rFonts w:ascii="Calibri" w:hAnsi="Calibri" w:cs="Calibri"/>
          <w:sz w:val="18"/>
          <w:szCs w:val="18"/>
        </w:rPr>
      </w:pPr>
    </w:p>
    <w:p w14:paraId="73B85CA6" w14:textId="6B4710D6" w:rsidR="0065714D" w:rsidRPr="0065714D" w:rsidRDefault="0065714D" w:rsidP="005B6FA9">
      <w:pPr>
        <w:pStyle w:val="ListParagraph"/>
        <w:tabs>
          <w:tab w:val="left" w:pos="930"/>
          <w:tab w:val="left" w:pos="7655"/>
          <w:tab w:val="right" w:pos="9026"/>
        </w:tabs>
        <w:spacing w:after="0" w:line="240" w:lineRule="auto"/>
        <w:ind w:left="0"/>
        <w:rPr>
          <w:rFonts w:ascii="Calibri" w:hAnsi="Calibri" w:cs="Calibri"/>
        </w:rPr>
      </w:pPr>
    </w:p>
    <w:sectPr w:rsidR="0065714D" w:rsidRPr="0065714D" w:rsidSect="002075BF">
      <w:footerReference w:type="default" r:id="rId2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EF86" w14:textId="77777777" w:rsidR="00F93FF5" w:rsidRDefault="00F93FF5" w:rsidP="007D0118">
      <w:pPr>
        <w:spacing w:after="0" w:line="240" w:lineRule="auto"/>
      </w:pPr>
      <w:r>
        <w:separator/>
      </w:r>
    </w:p>
  </w:endnote>
  <w:endnote w:type="continuationSeparator" w:id="0">
    <w:p w14:paraId="0A8887DF" w14:textId="77777777" w:rsidR="00F93FF5" w:rsidRDefault="00F93FF5" w:rsidP="007D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214601"/>
      <w:docPartObj>
        <w:docPartGallery w:val="Page Numbers (Bottom of Page)"/>
        <w:docPartUnique/>
      </w:docPartObj>
    </w:sdtPr>
    <w:sdtEndPr/>
    <w:sdtContent>
      <w:sdt>
        <w:sdtPr>
          <w:id w:val="1728636285"/>
          <w:docPartObj>
            <w:docPartGallery w:val="Page Numbers (Top of Page)"/>
            <w:docPartUnique/>
          </w:docPartObj>
        </w:sdtPr>
        <w:sdtEndPr/>
        <w:sdtContent>
          <w:p w14:paraId="7765FB16" w14:textId="38AA6B57" w:rsidR="002075BF" w:rsidRDefault="002075BF">
            <w:pPr>
              <w:pStyle w:val="Footer"/>
              <w:jc w:val="center"/>
            </w:pPr>
            <w:r w:rsidRPr="002075BF">
              <w:rPr>
                <w:rFonts w:ascii="Calibri" w:hAnsi="Calibri" w:cs="Calibri"/>
                <w:sz w:val="18"/>
                <w:szCs w:val="18"/>
              </w:rPr>
              <w:t xml:space="preserve">Page </w:t>
            </w:r>
            <w:r w:rsidRPr="002075BF">
              <w:rPr>
                <w:rFonts w:ascii="Calibri" w:hAnsi="Calibri" w:cs="Calibri"/>
                <w:b/>
                <w:bCs/>
                <w:sz w:val="18"/>
                <w:szCs w:val="18"/>
              </w:rPr>
              <w:fldChar w:fldCharType="begin"/>
            </w:r>
            <w:r w:rsidRPr="002075BF">
              <w:rPr>
                <w:rFonts w:ascii="Calibri" w:hAnsi="Calibri" w:cs="Calibri"/>
                <w:b/>
                <w:bCs/>
                <w:sz w:val="18"/>
                <w:szCs w:val="18"/>
              </w:rPr>
              <w:instrText xml:space="preserve"> PAGE </w:instrText>
            </w:r>
            <w:r w:rsidRPr="002075BF">
              <w:rPr>
                <w:rFonts w:ascii="Calibri" w:hAnsi="Calibri" w:cs="Calibri"/>
                <w:b/>
                <w:bCs/>
                <w:sz w:val="18"/>
                <w:szCs w:val="18"/>
              </w:rPr>
              <w:fldChar w:fldCharType="separate"/>
            </w:r>
            <w:r w:rsidRPr="002075BF">
              <w:rPr>
                <w:rFonts w:ascii="Calibri" w:hAnsi="Calibri" w:cs="Calibri"/>
                <w:b/>
                <w:bCs/>
                <w:noProof/>
                <w:sz w:val="18"/>
                <w:szCs w:val="18"/>
              </w:rPr>
              <w:t>2</w:t>
            </w:r>
            <w:r w:rsidRPr="002075BF">
              <w:rPr>
                <w:rFonts w:ascii="Calibri" w:hAnsi="Calibri" w:cs="Calibri"/>
                <w:b/>
                <w:bCs/>
                <w:sz w:val="18"/>
                <w:szCs w:val="18"/>
              </w:rPr>
              <w:fldChar w:fldCharType="end"/>
            </w:r>
            <w:r w:rsidRPr="002075BF">
              <w:rPr>
                <w:rFonts w:ascii="Calibri" w:hAnsi="Calibri" w:cs="Calibri"/>
                <w:sz w:val="18"/>
                <w:szCs w:val="18"/>
              </w:rPr>
              <w:t xml:space="preserve"> of </w:t>
            </w:r>
            <w:r w:rsidRPr="002075BF">
              <w:rPr>
                <w:rFonts w:ascii="Calibri" w:hAnsi="Calibri" w:cs="Calibri"/>
                <w:b/>
                <w:bCs/>
                <w:sz w:val="18"/>
                <w:szCs w:val="18"/>
              </w:rPr>
              <w:fldChar w:fldCharType="begin"/>
            </w:r>
            <w:r w:rsidRPr="002075BF">
              <w:rPr>
                <w:rFonts w:ascii="Calibri" w:hAnsi="Calibri" w:cs="Calibri"/>
                <w:b/>
                <w:bCs/>
                <w:sz w:val="18"/>
                <w:szCs w:val="18"/>
              </w:rPr>
              <w:instrText xml:space="preserve"> NUMPAGES  </w:instrText>
            </w:r>
            <w:r w:rsidRPr="002075BF">
              <w:rPr>
                <w:rFonts w:ascii="Calibri" w:hAnsi="Calibri" w:cs="Calibri"/>
                <w:b/>
                <w:bCs/>
                <w:sz w:val="18"/>
                <w:szCs w:val="18"/>
              </w:rPr>
              <w:fldChar w:fldCharType="separate"/>
            </w:r>
            <w:r w:rsidRPr="002075BF">
              <w:rPr>
                <w:rFonts w:ascii="Calibri" w:hAnsi="Calibri" w:cs="Calibri"/>
                <w:b/>
                <w:bCs/>
                <w:noProof/>
                <w:sz w:val="18"/>
                <w:szCs w:val="18"/>
              </w:rPr>
              <w:t>2</w:t>
            </w:r>
            <w:r w:rsidRPr="002075BF">
              <w:rPr>
                <w:rFonts w:ascii="Calibri" w:hAnsi="Calibri" w:cs="Calibri"/>
                <w:b/>
                <w:bCs/>
                <w:sz w:val="18"/>
                <w:szCs w:val="18"/>
              </w:rPr>
              <w:fldChar w:fldCharType="end"/>
            </w:r>
          </w:p>
        </w:sdtContent>
      </w:sdt>
    </w:sdtContent>
  </w:sdt>
  <w:p w14:paraId="513CA407" w14:textId="77777777" w:rsidR="002075BF" w:rsidRDefault="0020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5FDE8" w14:textId="77777777" w:rsidR="00F93FF5" w:rsidRDefault="00F93FF5" w:rsidP="007D0118">
      <w:pPr>
        <w:spacing w:after="0" w:line="240" w:lineRule="auto"/>
      </w:pPr>
      <w:r>
        <w:separator/>
      </w:r>
    </w:p>
  </w:footnote>
  <w:footnote w:type="continuationSeparator" w:id="0">
    <w:p w14:paraId="5D245CA1" w14:textId="77777777" w:rsidR="00F93FF5" w:rsidRDefault="00F93FF5" w:rsidP="007D0118">
      <w:pPr>
        <w:spacing w:after="0" w:line="240" w:lineRule="auto"/>
      </w:pPr>
      <w:r>
        <w:continuationSeparator/>
      </w:r>
    </w:p>
  </w:footnote>
  <w:footnote w:id="1">
    <w:p w14:paraId="20CC40F8" w14:textId="1A0D0627" w:rsidR="00551664" w:rsidRPr="00551664" w:rsidRDefault="00551664" w:rsidP="00551664">
      <w:pPr>
        <w:pStyle w:val="FootnoteText"/>
        <w:rPr>
          <w:rFonts w:ascii="Calibri" w:hAnsi="Calibri" w:cs="Calibri"/>
          <w:sz w:val="18"/>
          <w:szCs w:val="18"/>
        </w:rPr>
      </w:pPr>
      <w:r>
        <w:rPr>
          <w:rStyle w:val="FootnoteReference"/>
        </w:rPr>
        <w:footnoteRef/>
      </w:r>
      <w:r>
        <w:t xml:space="preserve"> ‘</w:t>
      </w:r>
      <w:r w:rsidRPr="00551664">
        <w:rPr>
          <w:rFonts w:ascii="Calibri" w:hAnsi="Calibri" w:cs="Calibri"/>
          <w:sz w:val="18"/>
          <w:szCs w:val="18"/>
        </w:rPr>
        <w:t xml:space="preserve">Arrangement’ is defined as ‘Any type of agreement, whether formal or informal. </w:t>
      </w:r>
      <w:r w:rsidR="00037A8A">
        <w:rPr>
          <w:rFonts w:ascii="Calibri" w:hAnsi="Calibri" w:cs="Calibri"/>
          <w:sz w:val="18"/>
          <w:szCs w:val="18"/>
        </w:rPr>
        <w:t>This c</w:t>
      </w:r>
      <w:r w:rsidRPr="00551664">
        <w:rPr>
          <w:rFonts w:ascii="Calibri" w:hAnsi="Calibri" w:cs="Calibri"/>
          <w:sz w:val="18"/>
          <w:szCs w:val="18"/>
        </w:rPr>
        <w:t xml:space="preserve">ould include a contract, memorandum of understanding (MOU) or quid pro-quo informal agreement or arrangement. It does not include conversations </w:t>
      </w:r>
      <w:r w:rsidR="00037A8A">
        <w:rPr>
          <w:rFonts w:ascii="Calibri" w:hAnsi="Calibri" w:cs="Calibri"/>
          <w:sz w:val="18"/>
          <w:szCs w:val="18"/>
        </w:rPr>
        <w:t>that</w:t>
      </w:r>
      <w:r w:rsidRPr="00551664">
        <w:rPr>
          <w:rFonts w:ascii="Calibri" w:hAnsi="Calibri" w:cs="Calibri"/>
          <w:sz w:val="18"/>
          <w:szCs w:val="18"/>
        </w:rPr>
        <w:t xml:space="preserve"> do not materialise into an agreement or arrangement.’</w:t>
      </w:r>
      <w:r w:rsidR="008469E7">
        <w:rPr>
          <w:rFonts w:ascii="Calibri" w:hAnsi="Calibri" w:cs="Calibri"/>
          <w:sz w:val="18"/>
          <w:szCs w:val="18"/>
        </w:rPr>
        <w:t xml:space="preserve"> (</w:t>
      </w:r>
      <w:r w:rsidR="00037A8A">
        <w:rPr>
          <w:rFonts w:ascii="Calibri" w:hAnsi="Calibri" w:cs="Calibri"/>
          <w:sz w:val="18"/>
          <w:szCs w:val="18"/>
        </w:rPr>
        <w:t>f</w:t>
      </w:r>
      <w:r w:rsidR="008469E7">
        <w:rPr>
          <w:rFonts w:ascii="Calibri" w:hAnsi="Calibri" w:cs="Calibri"/>
          <w:sz w:val="18"/>
          <w:szCs w:val="18"/>
        </w:rPr>
        <w:t xml:space="preserve">rom glossary of </w:t>
      </w:r>
      <w:r w:rsidR="008469E7" w:rsidRPr="00037A8A">
        <w:rPr>
          <w:rFonts w:ascii="Calibri" w:hAnsi="Calibri" w:cs="Calibri"/>
          <w:sz w:val="18"/>
          <w:szCs w:val="18"/>
        </w:rPr>
        <w:t>sector-specific guidance</w:t>
      </w:r>
      <w:r w:rsidR="008469E7">
        <w:rPr>
          <w:rFonts w:ascii="Calibri" w:hAnsi="Calibri" w:cs="Calibri"/>
          <w:sz w:val="18"/>
          <w:szCs w:val="18"/>
        </w:rPr>
        <w:t>)</w:t>
      </w:r>
    </w:p>
  </w:footnote>
  <w:footnote w:id="2">
    <w:p w14:paraId="5CABF214" w14:textId="56A0C7B6" w:rsidR="004D023A" w:rsidRPr="00551664" w:rsidRDefault="004D023A" w:rsidP="004D023A">
      <w:pPr>
        <w:pStyle w:val="FootnoteText"/>
        <w:rPr>
          <w:sz w:val="18"/>
          <w:szCs w:val="18"/>
        </w:rPr>
      </w:pPr>
      <w:r w:rsidRPr="00551664">
        <w:rPr>
          <w:rStyle w:val="FootnoteReference"/>
          <w:sz w:val="18"/>
          <w:szCs w:val="18"/>
        </w:rPr>
        <w:footnoteRef/>
      </w:r>
      <w:r w:rsidRPr="00551664">
        <w:rPr>
          <w:sz w:val="18"/>
          <w:szCs w:val="18"/>
        </w:rPr>
        <w:t xml:space="preserve"> From</w:t>
      </w:r>
      <w:r w:rsidR="00B6264F" w:rsidRPr="00551664">
        <w:rPr>
          <w:sz w:val="18"/>
          <w:szCs w:val="18"/>
        </w:rPr>
        <w:t xml:space="preserve"> </w:t>
      </w:r>
      <w:r w:rsidR="009D5F13" w:rsidRPr="00551664">
        <w:rPr>
          <w:sz w:val="18"/>
          <w:szCs w:val="18"/>
        </w:rPr>
        <w:t>c</w:t>
      </w:r>
      <w:r w:rsidR="00B6264F" w:rsidRPr="00551664">
        <w:rPr>
          <w:sz w:val="18"/>
          <w:szCs w:val="18"/>
        </w:rPr>
        <w:t>h</w:t>
      </w:r>
      <w:r w:rsidR="009D5F13" w:rsidRPr="00551664">
        <w:rPr>
          <w:sz w:val="18"/>
          <w:szCs w:val="18"/>
        </w:rPr>
        <w:t>apter</w:t>
      </w:r>
      <w:r w:rsidR="00B6264F" w:rsidRPr="00551664">
        <w:rPr>
          <w:sz w:val="18"/>
          <w:szCs w:val="18"/>
        </w:rPr>
        <w:t xml:space="preserve"> 2, p</w:t>
      </w:r>
      <w:r w:rsidR="00CD3F6C" w:rsidRPr="00551664">
        <w:rPr>
          <w:sz w:val="18"/>
          <w:szCs w:val="18"/>
        </w:rPr>
        <w:t>ara</w:t>
      </w:r>
      <w:r w:rsidR="009D5F13" w:rsidRPr="00551664">
        <w:rPr>
          <w:sz w:val="18"/>
          <w:szCs w:val="18"/>
        </w:rPr>
        <w:t>graph</w:t>
      </w:r>
      <w:r w:rsidR="00B6264F" w:rsidRPr="00551664">
        <w:rPr>
          <w:sz w:val="18"/>
          <w:szCs w:val="18"/>
        </w:rPr>
        <w:t xml:space="preserve"> 4</w:t>
      </w:r>
      <w:r w:rsidR="00851817" w:rsidRPr="00551664">
        <w:rPr>
          <w:sz w:val="18"/>
          <w:szCs w:val="18"/>
        </w:rPr>
        <w:t>,</w:t>
      </w:r>
      <w:r w:rsidR="00B6264F" w:rsidRPr="00551664">
        <w:rPr>
          <w:sz w:val="18"/>
          <w:szCs w:val="18"/>
        </w:rPr>
        <w:t xml:space="preserve"> of the </w:t>
      </w:r>
      <w:hyperlink r:id="rId1" w:anchor="chapter-2" w:history="1">
        <w:r w:rsidR="00B6264F" w:rsidRPr="00551664">
          <w:rPr>
            <w:rStyle w:val="Hyperlink"/>
            <w:sz w:val="18"/>
            <w:szCs w:val="18"/>
          </w:rPr>
          <w:t>Enhanced Tier Guidance</w:t>
        </w:r>
      </w:hyperlink>
      <w:r w:rsidR="00B6264F" w:rsidRPr="00551664">
        <w:rPr>
          <w:sz w:val="18"/>
          <w:szCs w:val="18"/>
        </w:rPr>
        <w:t>.</w:t>
      </w:r>
      <w:r w:rsidRPr="00551664">
        <w:rPr>
          <w:sz w:val="18"/>
          <w:szCs w:val="18"/>
        </w:rPr>
        <w:t xml:space="preserve"> </w:t>
      </w:r>
    </w:p>
  </w:footnote>
  <w:footnote w:id="3">
    <w:p w14:paraId="2EFD1961" w14:textId="76CBBA9B" w:rsidR="00B6264F" w:rsidRPr="00551664" w:rsidRDefault="00B6264F">
      <w:pPr>
        <w:pStyle w:val="FootnoteText"/>
        <w:rPr>
          <w:sz w:val="18"/>
          <w:szCs w:val="18"/>
        </w:rPr>
      </w:pPr>
      <w:r w:rsidRPr="00551664">
        <w:rPr>
          <w:rStyle w:val="FootnoteReference"/>
          <w:sz w:val="18"/>
          <w:szCs w:val="18"/>
        </w:rPr>
        <w:footnoteRef/>
      </w:r>
      <w:r w:rsidRPr="00551664">
        <w:rPr>
          <w:sz w:val="18"/>
          <w:szCs w:val="18"/>
        </w:rPr>
        <w:t xml:space="preserve"> ‘A “direction” is an order or instruction to act to which a person is obliged or compelled, whether formally or informally, to comply.’ Defined under Condition 2 in the  </w:t>
      </w:r>
      <w:hyperlink r:id="rId2" w:anchor="chapter3-condition2" w:history="1">
        <w:r w:rsidRPr="00551664">
          <w:rPr>
            <w:rStyle w:val="Hyperlink"/>
            <w:sz w:val="18"/>
            <w:szCs w:val="18"/>
          </w:rPr>
          <w:t>Political Influence</w:t>
        </w:r>
      </w:hyperlink>
      <w:r w:rsidRPr="00551664">
        <w:rPr>
          <w:sz w:val="18"/>
          <w:szCs w:val="18"/>
        </w:rPr>
        <w:t xml:space="preserve"> and the </w:t>
      </w:r>
      <w:hyperlink r:id="rId3" w:anchor="chapter-8-information-required-at-registration" w:history="1">
        <w:r w:rsidRPr="00551664">
          <w:rPr>
            <w:rStyle w:val="Hyperlink"/>
            <w:sz w:val="18"/>
            <w:szCs w:val="18"/>
          </w:rPr>
          <w:t>Enhanced Tier</w:t>
        </w:r>
      </w:hyperlink>
      <w:r w:rsidRPr="00551664">
        <w:rPr>
          <w:sz w:val="18"/>
          <w:szCs w:val="18"/>
        </w:rPr>
        <w:t xml:space="preserve"> guidance [</w:t>
      </w:r>
      <w:r w:rsidR="004853C8" w:rsidRPr="00551664">
        <w:rPr>
          <w:sz w:val="18"/>
          <w:szCs w:val="18"/>
        </w:rPr>
        <w:t>all</w:t>
      </w:r>
      <w:r w:rsidRPr="00551664">
        <w:rPr>
          <w:sz w:val="18"/>
          <w:szCs w:val="18"/>
        </w:rPr>
        <w:t xml:space="preserve"> accessed 19/06/25].</w:t>
      </w:r>
    </w:p>
  </w:footnote>
  <w:footnote w:id="4">
    <w:p w14:paraId="393F94F1" w14:textId="77777777" w:rsidR="00D43095" w:rsidRDefault="00D43095" w:rsidP="00D43095">
      <w:pPr>
        <w:pStyle w:val="FootnoteText"/>
      </w:pPr>
      <w:r>
        <w:rPr>
          <w:rStyle w:val="FootnoteReference"/>
        </w:rPr>
        <w:footnoteRef/>
      </w:r>
      <w:r>
        <w:t xml:space="preserve"> Chapter 5, paragraph 36: </w:t>
      </w:r>
      <w:hyperlink r:id="rId4" w:history="1">
        <w:r w:rsidRPr="00CD3F6C">
          <w:rPr>
            <w:rStyle w:val="Hyperlink"/>
          </w:rPr>
          <w:t>Foreign Influence Registration Scheme: registration and public register - 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1370"/>
    <w:multiLevelType w:val="hybridMultilevel"/>
    <w:tmpl w:val="49E2E3D4"/>
    <w:lvl w:ilvl="0" w:tplc="4B1AA7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A1A1E"/>
    <w:multiLevelType w:val="hybridMultilevel"/>
    <w:tmpl w:val="2F82EF82"/>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 w15:restartNumberingAfterBreak="0">
    <w:nsid w:val="109D7872"/>
    <w:multiLevelType w:val="hybridMultilevel"/>
    <w:tmpl w:val="D9FA00E8"/>
    <w:lvl w:ilvl="0" w:tplc="08090001">
      <w:start w:val="1"/>
      <w:numFmt w:val="bullet"/>
      <w:lvlText w:val=""/>
      <w:lvlJc w:val="left"/>
      <w:pPr>
        <w:ind w:left="1650" w:hanging="360"/>
      </w:pPr>
      <w:rPr>
        <w:rFonts w:ascii="Symbol" w:hAnsi="Symbol" w:hint="default"/>
      </w:rPr>
    </w:lvl>
    <w:lvl w:ilvl="1" w:tplc="08090003">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 w15:restartNumberingAfterBreak="0">
    <w:nsid w:val="22217CDF"/>
    <w:multiLevelType w:val="hybridMultilevel"/>
    <w:tmpl w:val="18A48DF2"/>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B25FCB"/>
    <w:multiLevelType w:val="hybridMultilevel"/>
    <w:tmpl w:val="79BCC73E"/>
    <w:lvl w:ilvl="0" w:tplc="08090001">
      <w:start w:val="1"/>
      <w:numFmt w:val="bullet"/>
      <w:lvlText w:val=""/>
      <w:lvlJc w:val="left"/>
      <w:pPr>
        <w:ind w:left="3090" w:hanging="360"/>
      </w:pPr>
      <w:rPr>
        <w:rFonts w:ascii="Symbol" w:hAnsi="Symbol" w:hint="default"/>
      </w:rPr>
    </w:lvl>
    <w:lvl w:ilvl="1" w:tplc="08090003" w:tentative="1">
      <w:start w:val="1"/>
      <w:numFmt w:val="bullet"/>
      <w:lvlText w:val="o"/>
      <w:lvlJc w:val="left"/>
      <w:pPr>
        <w:ind w:left="3810" w:hanging="360"/>
      </w:pPr>
      <w:rPr>
        <w:rFonts w:ascii="Courier New" w:hAnsi="Courier New" w:cs="Courier New" w:hint="default"/>
      </w:rPr>
    </w:lvl>
    <w:lvl w:ilvl="2" w:tplc="08090005" w:tentative="1">
      <w:start w:val="1"/>
      <w:numFmt w:val="bullet"/>
      <w:lvlText w:val=""/>
      <w:lvlJc w:val="left"/>
      <w:pPr>
        <w:ind w:left="4530" w:hanging="360"/>
      </w:pPr>
      <w:rPr>
        <w:rFonts w:ascii="Wingdings" w:hAnsi="Wingdings" w:hint="default"/>
      </w:rPr>
    </w:lvl>
    <w:lvl w:ilvl="3" w:tplc="08090001" w:tentative="1">
      <w:start w:val="1"/>
      <w:numFmt w:val="bullet"/>
      <w:lvlText w:val=""/>
      <w:lvlJc w:val="left"/>
      <w:pPr>
        <w:ind w:left="5250" w:hanging="360"/>
      </w:pPr>
      <w:rPr>
        <w:rFonts w:ascii="Symbol" w:hAnsi="Symbol" w:hint="default"/>
      </w:rPr>
    </w:lvl>
    <w:lvl w:ilvl="4" w:tplc="08090003" w:tentative="1">
      <w:start w:val="1"/>
      <w:numFmt w:val="bullet"/>
      <w:lvlText w:val="o"/>
      <w:lvlJc w:val="left"/>
      <w:pPr>
        <w:ind w:left="5970" w:hanging="360"/>
      </w:pPr>
      <w:rPr>
        <w:rFonts w:ascii="Courier New" w:hAnsi="Courier New" w:cs="Courier New" w:hint="default"/>
      </w:rPr>
    </w:lvl>
    <w:lvl w:ilvl="5" w:tplc="08090005" w:tentative="1">
      <w:start w:val="1"/>
      <w:numFmt w:val="bullet"/>
      <w:lvlText w:val=""/>
      <w:lvlJc w:val="left"/>
      <w:pPr>
        <w:ind w:left="6690" w:hanging="360"/>
      </w:pPr>
      <w:rPr>
        <w:rFonts w:ascii="Wingdings" w:hAnsi="Wingdings" w:hint="default"/>
      </w:rPr>
    </w:lvl>
    <w:lvl w:ilvl="6" w:tplc="08090001" w:tentative="1">
      <w:start w:val="1"/>
      <w:numFmt w:val="bullet"/>
      <w:lvlText w:val=""/>
      <w:lvlJc w:val="left"/>
      <w:pPr>
        <w:ind w:left="7410" w:hanging="360"/>
      </w:pPr>
      <w:rPr>
        <w:rFonts w:ascii="Symbol" w:hAnsi="Symbol" w:hint="default"/>
      </w:rPr>
    </w:lvl>
    <w:lvl w:ilvl="7" w:tplc="08090003" w:tentative="1">
      <w:start w:val="1"/>
      <w:numFmt w:val="bullet"/>
      <w:lvlText w:val="o"/>
      <w:lvlJc w:val="left"/>
      <w:pPr>
        <w:ind w:left="8130" w:hanging="360"/>
      </w:pPr>
      <w:rPr>
        <w:rFonts w:ascii="Courier New" w:hAnsi="Courier New" w:cs="Courier New" w:hint="default"/>
      </w:rPr>
    </w:lvl>
    <w:lvl w:ilvl="8" w:tplc="08090005" w:tentative="1">
      <w:start w:val="1"/>
      <w:numFmt w:val="bullet"/>
      <w:lvlText w:val=""/>
      <w:lvlJc w:val="left"/>
      <w:pPr>
        <w:ind w:left="8850" w:hanging="360"/>
      </w:pPr>
      <w:rPr>
        <w:rFonts w:ascii="Wingdings" w:hAnsi="Wingdings" w:hint="default"/>
      </w:rPr>
    </w:lvl>
  </w:abstractNum>
  <w:abstractNum w:abstractNumId="5" w15:restartNumberingAfterBreak="0">
    <w:nsid w:val="39622679"/>
    <w:multiLevelType w:val="hybridMultilevel"/>
    <w:tmpl w:val="F628F64E"/>
    <w:lvl w:ilvl="0" w:tplc="1B9201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C18C4"/>
    <w:multiLevelType w:val="hybridMultilevel"/>
    <w:tmpl w:val="187EF0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8B3043"/>
    <w:multiLevelType w:val="hybridMultilevel"/>
    <w:tmpl w:val="8DE0619E"/>
    <w:lvl w:ilvl="0" w:tplc="08090001">
      <w:start w:val="1"/>
      <w:numFmt w:val="bullet"/>
      <w:lvlText w:val=""/>
      <w:lvlJc w:val="left"/>
      <w:pPr>
        <w:ind w:left="6330" w:hanging="360"/>
      </w:pPr>
      <w:rPr>
        <w:rFonts w:ascii="Symbol" w:hAnsi="Symbol" w:hint="default"/>
      </w:rPr>
    </w:lvl>
    <w:lvl w:ilvl="1" w:tplc="08090003">
      <w:start w:val="1"/>
      <w:numFmt w:val="bullet"/>
      <w:lvlText w:val="o"/>
      <w:lvlJc w:val="left"/>
      <w:pPr>
        <w:ind w:left="7050" w:hanging="360"/>
      </w:pPr>
      <w:rPr>
        <w:rFonts w:ascii="Courier New" w:hAnsi="Courier New" w:cs="Courier New" w:hint="default"/>
      </w:rPr>
    </w:lvl>
    <w:lvl w:ilvl="2" w:tplc="08090005" w:tentative="1">
      <w:start w:val="1"/>
      <w:numFmt w:val="bullet"/>
      <w:lvlText w:val=""/>
      <w:lvlJc w:val="left"/>
      <w:pPr>
        <w:ind w:left="7770" w:hanging="360"/>
      </w:pPr>
      <w:rPr>
        <w:rFonts w:ascii="Wingdings" w:hAnsi="Wingdings" w:hint="default"/>
      </w:rPr>
    </w:lvl>
    <w:lvl w:ilvl="3" w:tplc="08090001" w:tentative="1">
      <w:start w:val="1"/>
      <w:numFmt w:val="bullet"/>
      <w:lvlText w:val=""/>
      <w:lvlJc w:val="left"/>
      <w:pPr>
        <w:ind w:left="8490" w:hanging="360"/>
      </w:pPr>
      <w:rPr>
        <w:rFonts w:ascii="Symbol" w:hAnsi="Symbol" w:hint="default"/>
      </w:rPr>
    </w:lvl>
    <w:lvl w:ilvl="4" w:tplc="08090003" w:tentative="1">
      <w:start w:val="1"/>
      <w:numFmt w:val="bullet"/>
      <w:lvlText w:val="o"/>
      <w:lvlJc w:val="left"/>
      <w:pPr>
        <w:ind w:left="9210" w:hanging="360"/>
      </w:pPr>
      <w:rPr>
        <w:rFonts w:ascii="Courier New" w:hAnsi="Courier New" w:cs="Courier New" w:hint="default"/>
      </w:rPr>
    </w:lvl>
    <w:lvl w:ilvl="5" w:tplc="08090005" w:tentative="1">
      <w:start w:val="1"/>
      <w:numFmt w:val="bullet"/>
      <w:lvlText w:val=""/>
      <w:lvlJc w:val="left"/>
      <w:pPr>
        <w:ind w:left="9930" w:hanging="360"/>
      </w:pPr>
      <w:rPr>
        <w:rFonts w:ascii="Wingdings" w:hAnsi="Wingdings" w:hint="default"/>
      </w:rPr>
    </w:lvl>
    <w:lvl w:ilvl="6" w:tplc="08090001" w:tentative="1">
      <w:start w:val="1"/>
      <w:numFmt w:val="bullet"/>
      <w:lvlText w:val=""/>
      <w:lvlJc w:val="left"/>
      <w:pPr>
        <w:ind w:left="10650" w:hanging="360"/>
      </w:pPr>
      <w:rPr>
        <w:rFonts w:ascii="Symbol" w:hAnsi="Symbol" w:hint="default"/>
      </w:rPr>
    </w:lvl>
    <w:lvl w:ilvl="7" w:tplc="08090003" w:tentative="1">
      <w:start w:val="1"/>
      <w:numFmt w:val="bullet"/>
      <w:lvlText w:val="o"/>
      <w:lvlJc w:val="left"/>
      <w:pPr>
        <w:ind w:left="11370" w:hanging="360"/>
      </w:pPr>
      <w:rPr>
        <w:rFonts w:ascii="Courier New" w:hAnsi="Courier New" w:cs="Courier New" w:hint="default"/>
      </w:rPr>
    </w:lvl>
    <w:lvl w:ilvl="8" w:tplc="08090005" w:tentative="1">
      <w:start w:val="1"/>
      <w:numFmt w:val="bullet"/>
      <w:lvlText w:val=""/>
      <w:lvlJc w:val="left"/>
      <w:pPr>
        <w:ind w:left="12090" w:hanging="360"/>
      </w:pPr>
      <w:rPr>
        <w:rFonts w:ascii="Wingdings" w:hAnsi="Wingdings" w:hint="default"/>
      </w:rPr>
    </w:lvl>
  </w:abstractNum>
  <w:num w:numId="1" w16cid:durableId="500311409">
    <w:abstractNumId w:val="0"/>
  </w:num>
  <w:num w:numId="2" w16cid:durableId="1536693473">
    <w:abstractNumId w:val="4"/>
  </w:num>
  <w:num w:numId="3" w16cid:durableId="1214467586">
    <w:abstractNumId w:val="7"/>
  </w:num>
  <w:num w:numId="4" w16cid:durableId="735661681">
    <w:abstractNumId w:val="2"/>
  </w:num>
  <w:num w:numId="5" w16cid:durableId="767382853">
    <w:abstractNumId w:val="1"/>
  </w:num>
  <w:num w:numId="6" w16cid:durableId="1375813159">
    <w:abstractNumId w:val="5"/>
  </w:num>
  <w:num w:numId="7" w16cid:durableId="1308703860">
    <w:abstractNumId w:val="6"/>
  </w:num>
  <w:num w:numId="8" w16cid:durableId="1015885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10"/>
    <w:rsid w:val="00037A8A"/>
    <w:rsid w:val="000467F1"/>
    <w:rsid w:val="00050063"/>
    <w:rsid w:val="000604CA"/>
    <w:rsid w:val="000E7B13"/>
    <w:rsid w:val="000E7E92"/>
    <w:rsid w:val="00190F43"/>
    <w:rsid w:val="002075BF"/>
    <w:rsid w:val="00230F98"/>
    <w:rsid w:val="0024321E"/>
    <w:rsid w:val="00247EE4"/>
    <w:rsid w:val="00294974"/>
    <w:rsid w:val="002E09E8"/>
    <w:rsid w:val="00327DB7"/>
    <w:rsid w:val="00332D19"/>
    <w:rsid w:val="003402B2"/>
    <w:rsid w:val="00357591"/>
    <w:rsid w:val="00393201"/>
    <w:rsid w:val="00396FC6"/>
    <w:rsid w:val="003F694E"/>
    <w:rsid w:val="00402D09"/>
    <w:rsid w:val="0040489D"/>
    <w:rsid w:val="004137AB"/>
    <w:rsid w:val="00475198"/>
    <w:rsid w:val="00476EC8"/>
    <w:rsid w:val="004853C8"/>
    <w:rsid w:val="004A39D3"/>
    <w:rsid w:val="004B2CA5"/>
    <w:rsid w:val="004B4E17"/>
    <w:rsid w:val="004D023A"/>
    <w:rsid w:val="004E2251"/>
    <w:rsid w:val="00550AFF"/>
    <w:rsid w:val="00551664"/>
    <w:rsid w:val="005519DB"/>
    <w:rsid w:val="0055359C"/>
    <w:rsid w:val="005805EA"/>
    <w:rsid w:val="00581F4A"/>
    <w:rsid w:val="005A5483"/>
    <w:rsid w:val="005A67FB"/>
    <w:rsid w:val="005B11EC"/>
    <w:rsid w:val="005B491A"/>
    <w:rsid w:val="005B6FA9"/>
    <w:rsid w:val="005D0290"/>
    <w:rsid w:val="00622615"/>
    <w:rsid w:val="0064491C"/>
    <w:rsid w:val="0065714D"/>
    <w:rsid w:val="006739B0"/>
    <w:rsid w:val="006A4E3C"/>
    <w:rsid w:val="006D45E0"/>
    <w:rsid w:val="006E3F0A"/>
    <w:rsid w:val="006E496A"/>
    <w:rsid w:val="006E6F2C"/>
    <w:rsid w:val="007450CA"/>
    <w:rsid w:val="0074560E"/>
    <w:rsid w:val="00745934"/>
    <w:rsid w:val="00760177"/>
    <w:rsid w:val="00774CF4"/>
    <w:rsid w:val="0078146E"/>
    <w:rsid w:val="00785B4E"/>
    <w:rsid w:val="00786467"/>
    <w:rsid w:val="007A2309"/>
    <w:rsid w:val="007A731B"/>
    <w:rsid w:val="007C0885"/>
    <w:rsid w:val="007D0118"/>
    <w:rsid w:val="007E5803"/>
    <w:rsid w:val="007E62B7"/>
    <w:rsid w:val="008014CF"/>
    <w:rsid w:val="00817C86"/>
    <w:rsid w:val="008469E7"/>
    <w:rsid w:val="00851817"/>
    <w:rsid w:val="00857AD1"/>
    <w:rsid w:val="008628B6"/>
    <w:rsid w:val="00884E9C"/>
    <w:rsid w:val="00887F30"/>
    <w:rsid w:val="008A40F2"/>
    <w:rsid w:val="008A41F5"/>
    <w:rsid w:val="008B0F61"/>
    <w:rsid w:val="008C05C0"/>
    <w:rsid w:val="008E59B6"/>
    <w:rsid w:val="009262BC"/>
    <w:rsid w:val="00947F77"/>
    <w:rsid w:val="009C4EF6"/>
    <w:rsid w:val="009D5D10"/>
    <w:rsid w:val="009D5F13"/>
    <w:rsid w:val="009F1809"/>
    <w:rsid w:val="009F30A9"/>
    <w:rsid w:val="00A02E04"/>
    <w:rsid w:val="00A0441D"/>
    <w:rsid w:val="00A448F5"/>
    <w:rsid w:val="00AC3C81"/>
    <w:rsid w:val="00AF1DA9"/>
    <w:rsid w:val="00B104A2"/>
    <w:rsid w:val="00B11835"/>
    <w:rsid w:val="00B1781F"/>
    <w:rsid w:val="00B31418"/>
    <w:rsid w:val="00B47E5B"/>
    <w:rsid w:val="00B531BE"/>
    <w:rsid w:val="00B6264F"/>
    <w:rsid w:val="00B658E3"/>
    <w:rsid w:val="00BA6B82"/>
    <w:rsid w:val="00BE5432"/>
    <w:rsid w:val="00C20F90"/>
    <w:rsid w:val="00C211C8"/>
    <w:rsid w:val="00C23080"/>
    <w:rsid w:val="00C374DE"/>
    <w:rsid w:val="00C579D7"/>
    <w:rsid w:val="00C62C15"/>
    <w:rsid w:val="00C80672"/>
    <w:rsid w:val="00CD3F6C"/>
    <w:rsid w:val="00CE59C9"/>
    <w:rsid w:val="00D035C3"/>
    <w:rsid w:val="00D22B24"/>
    <w:rsid w:val="00D27E63"/>
    <w:rsid w:val="00D43095"/>
    <w:rsid w:val="00D77382"/>
    <w:rsid w:val="00D8643A"/>
    <w:rsid w:val="00D95DBB"/>
    <w:rsid w:val="00DB79F6"/>
    <w:rsid w:val="00DD2688"/>
    <w:rsid w:val="00DD65D2"/>
    <w:rsid w:val="00DE3D29"/>
    <w:rsid w:val="00DF7652"/>
    <w:rsid w:val="00E412E4"/>
    <w:rsid w:val="00E54D86"/>
    <w:rsid w:val="00E84F10"/>
    <w:rsid w:val="00E853D0"/>
    <w:rsid w:val="00E8690F"/>
    <w:rsid w:val="00EF39E7"/>
    <w:rsid w:val="00F42E73"/>
    <w:rsid w:val="00F50FA1"/>
    <w:rsid w:val="00F60D72"/>
    <w:rsid w:val="00F93FF5"/>
    <w:rsid w:val="00FF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B619"/>
  <w15:chartTrackingRefBased/>
  <w15:docId w15:val="{B23CEF8F-C340-4A33-A675-7BDF476E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BF"/>
  </w:style>
  <w:style w:type="paragraph" w:styleId="Heading1">
    <w:name w:val="heading 1"/>
    <w:basedOn w:val="Normal"/>
    <w:next w:val="Normal"/>
    <w:link w:val="Heading1Char"/>
    <w:uiPriority w:val="9"/>
    <w:qFormat/>
    <w:rsid w:val="009D5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5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D10"/>
    <w:rPr>
      <w:rFonts w:eastAsiaTheme="majorEastAsia" w:cstheme="majorBidi"/>
      <w:color w:val="272727" w:themeColor="text1" w:themeTint="D8"/>
    </w:rPr>
  </w:style>
  <w:style w:type="paragraph" w:styleId="Title">
    <w:name w:val="Title"/>
    <w:basedOn w:val="Normal"/>
    <w:next w:val="Normal"/>
    <w:link w:val="TitleChar"/>
    <w:uiPriority w:val="10"/>
    <w:qFormat/>
    <w:rsid w:val="009D5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D10"/>
    <w:pPr>
      <w:spacing w:before="160"/>
      <w:jc w:val="center"/>
    </w:pPr>
    <w:rPr>
      <w:i/>
      <w:iCs/>
      <w:color w:val="404040" w:themeColor="text1" w:themeTint="BF"/>
    </w:rPr>
  </w:style>
  <w:style w:type="character" w:customStyle="1" w:styleId="QuoteChar">
    <w:name w:val="Quote Char"/>
    <w:basedOn w:val="DefaultParagraphFont"/>
    <w:link w:val="Quote"/>
    <w:uiPriority w:val="29"/>
    <w:rsid w:val="009D5D10"/>
    <w:rPr>
      <w:i/>
      <w:iCs/>
      <w:color w:val="404040" w:themeColor="text1" w:themeTint="BF"/>
    </w:rPr>
  </w:style>
  <w:style w:type="paragraph" w:styleId="ListParagraph">
    <w:name w:val="List Paragraph"/>
    <w:basedOn w:val="Normal"/>
    <w:uiPriority w:val="34"/>
    <w:qFormat/>
    <w:rsid w:val="009D5D10"/>
    <w:pPr>
      <w:ind w:left="720"/>
      <w:contextualSpacing/>
    </w:pPr>
  </w:style>
  <w:style w:type="character" w:styleId="IntenseEmphasis">
    <w:name w:val="Intense Emphasis"/>
    <w:basedOn w:val="DefaultParagraphFont"/>
    <w:uiPriority w:val="21"/>
    <w:qFormat/>
    <w:rsid w:val="009D5D10"/>
    <w:rPr>
      <w:i/>
      <w:iCs/>
      <w:color w:val="0F4761" w:themeColor="accent1" w:themeShade="BF"/>
    </w:rPr>
  </w:style>
  <w:style w:type="paragraph" w:styleId="IntenseQuote">
    <w:name w:val="Intense Quote"/>
    <w:basedOn w:val="Normal"/>
    <w:next w:val="Normal"/>
    <w:link w:val="IntenseQuoteChar"/>
    <w:uiPriority w:val="30"/>
    <w:qFormat/>
    <w:rsid w:val="009D5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D10"/>
    <w:rPr>
      <w:i/>
      <w:iCs/>
      <w:color w:val="0F4761" w:themeColor="accent1" w:themeShade="BF"/>
    </w:rPr>
  </w:style>
  <w:style w:type="character" w:styleId="IntenseReference">
    <w:name w:val="Intense Reference"/>
    <w:basedOn w:val="DefaultParagraphFont"/>
    <w:uiPriority w:val="32"/>
    <w:qFormat/>
    <w:rsid w:val="009D5D10"/>
    <w:rPr>
      <w:b/>
      <w:bCs/>
      <w:smallCaps/>
      <w:color w:val="0F4761" w:themeColor="accent1" w:themeShade="BF"/>
      <w:spacing w:val="5"/>
    </w:rPr>
  </w:style>
  <w:style w:type="character" w:styleId="Hyperlink">
    <w:name w:val="Hyperlink"/>
    <w:basedOn w:val="DefaultParagraphFont"/>
    <w:uiPriority w:val="99"/>
    <w:unhideWhenUsed/>
    <w:rsid w:val="00FF0848"/>
    <w:rPr>
      <w:color w:val="467886" w:themeColor="hyperlink"/>
      <w:u w:val="single"/>
    </w:rPr>
  </w:style>
  <w:style w:type="character" w:styleId="UnresolvedMention">
    <w:name w:val="Unresolved Mention"/>
    <w:basedOn w:val="DefaultParagraphFont"/>
    <w:uiPriority w:val="99"/>
    <w:semiHidden/>
    <w:unhideWhenUsed/>
    <w:rsid w:val="00FF0848"/>
    <w:rPr>
      <w:color w:val="605E5C"/>
      <w:shd w:val="clear" w:color="auto" w:fill="E1DFDD"/>
    </w:rPr>
  </w:style>
  <w:style w:type="character" w:styleId="FollowedHyperlink">
    <w:name w:val="FollowedHyperlink"/>
    <w:basedOn w:val="DefaultParagraphFont"/>
    <w:uiPriority w:val="99"/>
    <w:semiHidden/>
    <w:unhideWhenUsed/>
    <w:rsid w:val="00FF0848"/>
    <w:rPr>
      <w:color w:val="96607D" w:themeColor="followedHyperlink"/>
      <w:u w:val="single"/>
    </w:rPr>
  </w:style>
  <w:style w:type="paragraph" w:styleId="FootnoteText">
    <w:name w:val="footnote text"/>
    <w:basedOn w:val="Normal"/>
    <w:link w:val="FootnoteTextChar"/>
    <w:uiPriority w:val="99"/>
    <w:semiHidden/>
    <w:unhideWhenUsed/>
    <w:rsid w:val="007D0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118"/>
    <w:rPr>
      <w:sz w:val="20"/>
      <w:szCs w:val="20"/>
    </w:rPr>
  </w:style>
  <w:style w:type="character" w:styleId="FootnoteReference">
    <w:name w:val="footnote reference"/>
    <w:basedOn w:val="DefaultParagraphFont"/>
    <w:uiPriority w:val="99"/>
    <w:semiHidden/>
    <w:unhideWhenUsed/>
    <w:rsid w:val="007D0118"/>
    <w:rPr>
      <w:vertAlign w:val="superscript"/>
    </w:rPr>
  </w:style>
  <w:style w:type="paragraph" w:styleId="Revision">
    <w:name w:val="Revision"/>
    <w:hidden/>
    <w:uiPriority w:val="99"/>
    <w:semiHidden/>
    <w:rsid w:val="009D5F13"/>
    <w:pPr>
      <w:spacing w:after="0" w:line="240" w:lineRule="auto"/>
    </w:pPr>
  </w:style>
  <w:style w:type="character" w:styleId="CommentReference">
    <w:name w:val="annotation reference"/>
    <w:basedOn w:val="DefaultParagraphFont"/>
    <w:uiPriority w:val="99"/>
    <w:semiHidden/>
    <w:unhideWhenUsed/>
    <w:rsid w:val="00D43095"/>
    <w:rPr>
      <w:sz w:val="16"/>
      <w:szCs w:val="16"/>
    </w:rPr>
  </w:style>
  <w:style w:type="paragraph" w:styleId="CommentText">
    <w:name w:val="annotation text"/>
    <w:basedOn w:val="Normal"/>
    <w:link w:val="CommentTextChar"/>
    <w:uiPriority w:val="99"/>
    <w:unhideWhenUsed/>
    <w:rsid w:val="00D43095"/>
    <w:pPr>
      <w:spacing w:line="240" w:lineRule="auto"/>
    </w:pPr>
    <w:rPr>
      <w:sz w:val="20"/>
      <w:szCs w:val="20"/>
    </w:rPr>
  </w:style>
  <w:style w:type="character" w:customStyle="1" w:styleId="CommentTextChar">
    <w:name w:val="Comment Text Char"/>
    <w:basedOn w:val="DefaultParagraphFont"/>
    <w:link w:val="CommentText"/>
    <w:uiPriority w:val="99"/>
    <w:rsid w:val="00D43095"/>
    <w:rPr>
      <w:sz w:val="20"/>
      <w:szCs w:val="20"/>
    </w:rPr>
  </w:style>
  <w:style w:type="paragraph" w:styleId="CommentSubject">
    <w:name w:val="annotation subject"/>
    <w:basedOn w:val="CommentText"/>
    <w:next w:val="CommentText"/>
    <w:link w:val="CommentSubjectChar"/>
    <w:uiPriority w:val="99"/>
    <w:semiHidden/>
    <w:unhideWhenUsed/>
    <w:rsid w:val="00D43095"/>
    <w:rPr>
      <w:b/>
      <w:bCs/>
    </w:rPr>
  </w:style>
  <w:style w:type="character" w:customStyle="1" w:styleId="CommentSubjectChar">
    <w:name w:val="Comment Subject Char"/>
    <w:basedOn w:val="CommentTextChar"/>
    <w:link w:val="CommentSubject"/>
    <w:uiPriority w:val="99"/>
    <w:semiHidden/>
    <w:rsid w:val="00D43095"/>
    <w:rPr>
      <w:b/>
      <w:bCs/>
      <w:sz w:val="20"/>
      <w:szCs w:val="20"/>
    </w:rPr>
  </w:style>
  <w:style w:type="table" w:styleId="TableGrid">
    <w:name w:val="Table Grid"/>
    <w:basedOn w:val="TableNormal"/>
    <w:uiPriority w:val="39"/>
    <w:rsid w:val="00BA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5BF"/>
  </w:style>
  <w:style w:type="paragraph" w:styleId="Footer">
    <w:name w:val="footer"/>
    <w:basedOn w:val="Normal"/>
    <w:link w:val="FooterChar"/>
    <w:uiPriority w:val="99"/>
    <w:unhideWhenUsed/>
    <w:rsid w:val="00207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0601">
      <w:bodyDiv w:val="1"/>
      <w:marLeft w:val="0"/>
      <w:marRight w:val="0"/>
      <w:marTop w:val="0"/>
      <w:marBottom w:val="0"/>
      <w:divBdr>
        <w:top w:val="none" w:sz="0" w:space="0" w:color="auto"/>
        <w:left w:val="none" w:sz="0" w:space="0" w:color="auto"/>
        <w:bottom w:val="none" w:sz="0" w:space="0" w:color="auto"/>
        <w:right w:val="none" w:sz="0" w:space="0" w:color="auto"/>
      </w:divBdr>
    </w:div>
    <w:div w:id="896013678">
      <w:bodyDiv w:val="1"/>
      <w:marLeft w:val="0"/>
      <w:marRight w:val="0"/>
      <w:marTop w:val="0"/>
      <w:marBottom w:val="0"/>
      <w:divBdr>
        <w:top w:val="none" w:sz="0" w:space="0" w:color="auto"/>
        <w:left w:val="none" w:sz="0" w:space="0" w:color="auto"/>
        <w:bottom w:val="none" w:sz="0" w:space="0" w:color="auto"/>
        <w:right w:val="none" w:sz="0" w:space="0" w:color="auto"/>
      </w:divBdr>
    </w:div>
    <w:div w:id="1274552349">
      <w:bodyDiv w:val="1"/>
      <w:marLeft w:val="0"/>
      <w:marRight w:val="0"/>
      <w:marTop w:val="0"/>
      <w:marBottom w:val="0"/>
      <w:divBdr>
        <w:top w:val="none" w:sz="0" w:space="0" w:color="auto"/>
        <w:left w:val="none" w:sz="0" w:space="0" w:color="auto"/>
        <w:bottom w:val="none" w:sz="0" w:space="0" w:color="auto"/>
        <w:right w:val="none" w:sz="0" w:space="0" w:color="auto"/>
      </w:divBdr>
    </w:div>
    <w:div w:id="185764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ecurity-bill-factsheets/foreign-influence-registration-scheme-factsheet" TargetMode="External"/><Relationship Id="rId13" Type="http://schemas.openxmlformats.org/officeDocument/2006/relationships/hyperlink" Target="https://www.gov.uk/government/collections/foreign-influence-registration-scheme" TargetMode="External"/><Relationship Id="rId18" Type="http://schemas.openxmlformats.org/officeDocument/2006/relationships/hyperlink" Target="https://www.gov.uk/government/publications/foreign-influence-registration-scheme-enhanced-tier/guidance-on-the-foreign-influence-registration-scheme-enhanced-tier-accessible-vers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oreign-influence-registration-scheme-guidance-for-academia-and-research/sector-specific-guidance-on-the-foreign-influence-registration-scheme-firs-academia-and-research-sector-accessible-version" TargetMode="External"/><Relationship Id="rId17" Type="http://schemas.openxmlformats.org/officeDocument/2006/relationships/hyperlink" Target="https://www.gov.uk/government/publications/foreign-influence-registration-scheme-political-influence-tier/guidance-on-the-foreign-influence-registration-scheme-political-influence-tier-accessible-version" TargetMode="External"/><Relationship Id="rId2" Type="http://schemas.openxmlformats.org/officeDocument/2006/relationships/numbering" Target="numbering.xml"/><Relationship Id="rId16" Type="http://schemas.openxmlformats.org/officeDocument/2006/relationships/hyperlink" Target="https://www.gov.uk/government/collections/foreign-influence-registration-scheme-specified-persons-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nkhe.com/blogs/the-foreign-influence-registration-scheme-has-sector-specific-implications/" TargetMode="External"/><Relationship Id="rId5" Type="http://schemas.openxmlformats.org/officeDocument/2006/relationships/webSettings" Target="webSettings.xml"/><Relationship Id="rId15" Type="http://schemas.openxmlformats.org/officeDocument/2006/relationships/hyperlink" Target="https://www.gov.uk/government/publications/foreign-influence-registration-scheme-registration-and-public-register/foreign-influence-registration-scheme-registration-and-public-register" TargetMode="External"/><Relationship Id="rId10" Type="http://schemas.openxmlformats.org/officeDocument/2006/relationships/hyperlink" Target="https://www.gov.uk/government/collections/foreign-influence-registration-scheme-specified-persons-guidance" TargetMode="External"/><Relationship Id="rId19" Type="http://schemas.openxmlformats.org/officeDocument/2006/relationships/hyperlink" Target="mailto:FIRS@bath.ac.uk" TargetMode="External"/><Relationship Id="rId4" Type="http://schemas.openxmlformats.org/officeDocument/2006/relationships/settings" Target="settings.xml"/><Relationship Id="rId9" Type="http://schemas.openxmlformats.org/officeDocument/2006/relationships/hyperlink" Target="https://www.gov.uk/government/publications/foreign-influence-registration-scheme-political-influence-tier/guidance-on-the-foreign-influence-registration-scheme-political-influence-tier-accessible-version" TargetMode="External"/><Relationship Id="rId14" Type="http://schemas.openxmlformats.org/officeDocument/2006/relationships/hyperlink" Target="https://www.gov.uk/government/publications/foreign-influence-registration-scheme-factshee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foreign-influence-registration-scheme-enhanced-tier/guidance-on-the-foreign-influence-registration-scheme-enhanced-tier-accessible-version" TargetMode="External"/><Relationship Id="rId2" Type="http://schemas.openxmlformats.org/officeDocument/2006/relationships/hyperlink" Target="https://www.gov.uk/government/publications/foreign-influence-registration-scheme-political-influence-tier/guidance-on-the-foreign-influence-registration-scheme-political-influence-tier-accessible-version" TargetMode="External"/><Relationship Id="rId1" Type="http://schemas.openxmlformats.org/officeDocument/2006/relationships/hyperlink" Target="https://www.gov.uk/government/publications/foreign-influence-registration-scheme-enhanced-tier/guidance-on-the-foreign-influence-registration-scheme-enhanced-tier-accessible-version" TargetMode="External"/><Relationship Id="rId4" Type="http://schemas.openxmlformats.org/officeDocument/2006/relationships/hyperlink" Target="https://www.gov.uk/government/publications/foreign-influence-registration-scheme-registration-and-public-register/foreign-influence-registration-scheme-registration-and-public-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BBD1-AAB8-4C51-8909-B20B208B4BF7}">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Conneally</dc:creator>
  <cp:keywords/>
  <dc:description/>
  <cp:lastModifiedBy>Bridget Conneally</cp:lastModifiedBy>
  <cp:revision>3</cp:revision>
  <dcterms:created xsi:type="dcterms:W3CDTF">2025-08-12T11:20:00Z</dcterms:created>
  <dcterms:modified xsi:type="dcterms:W3CDTF">2025-08-12T11:20:00Z</dcterms:modified>
</cp:coreProperties>
</file>