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B349" w14:textId="77777777" w:rsidR="00950935" w:rsidRDefault="00950935" w:rsidP="00950935">
      <w:pPr>
        <w:rPr>
          <w:rFonts w:cs="Arial"/>
          <w:b/>
          <w:noProof/>
          <w:sz w:val="28"/>
          <w:szCs w:val="28"/>
          <w:u w:val="single"/>
          <w:lang w:val="en-US"/>
        </w:rPr>
      </w:pPr>
      <w:r w:rsidRPr="00F80715">
        <w:rPr>
          <w:rFonts w:cs="Arial"/>
          <w:b/>
          <w:noProof/>
          <w:sz w:val="28"/>
          <w:szCs w:val="28"/>
          <w:lang w:eastAsia="en-GB"/>
        </w:rPr>
        <w:drawing>
          <wp:inline distT="0" distB="0" distL="0" distR="0" wp14:anchorId="08E063AF" wp14:editId="465F2C3B">
            <wp:extent cx="2047875" cy="838200"/>
            <wp:effectExtent l="0" t="0" r="9525"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Bath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7875" cy="838200"/>
                    </a:xfrm>
                    <a:prstGeom prst="rect">
                      <a:avLst/>
                    </a:prstGeom>
                    <a:noFill/>
                    <a:ln>
                      <a:noFill/>
                    </a:ln>
                  </pic:spPr>
                </pic:pic>
              </a:graphicData>
            </a:graphic>
          </wp:inline>
        </w:drawing>
      </w:r>
    </w:p>
    <w:p w14:paraId="71F4909D" w14:textId="77777777" w:rsidR="00A43F89" w:rsidRDefault="00A43F89" w:rsidP="00950935">
      <w:pPr>
        <w:rPr>
          <w:rFonts w:cs="Arial"/>
          <w:b/>
          <w:noProof/>
          <w:sz w:val="28"/>
          <w:szCs w:val="28"/>
          <w:lang w:val="en-US"/>
        </w:rPr>
      </w:pPr>
    </w:p>
    <w:p w14:paraId="289EB796" w14:textId="50ADF186" w:rsidR="00950935" w:rsidRPr="00DC4DBC" w:rsidRDefault="00F80715" w:rsidP="00F80715">
      <w:pPr>
        <w:pStyle w:val="Title"/>
        <w:rPr>
          <w:noProof/>
          <w:lang w:val="en-US"/>
        </w:rPr>
      </w:pPr>
      <w:r w:rsidRPr="00DD604B">
        <w:rPr>
          <w:rFonts w:cs="Arial"/>
        </w:rPr>
        <w:t xml:space="preserve">Diploma of Higher Education </w:t>
      </w:r>
      <w:r w:rsidR="00950935" w:rsidRPr="00BB102B">
        <w:rPr>
          <w:noProof/>
          <w:lang w:val="en-US"/>
        </w:rPr>
        <w:t>Programme Specification</w:t>
      </w:r>
    </w:p>
    <w:p w14:paraId="4C1D8FB8" w14:textId="77777777" w:rsidR="00950935" w:rsidRDefault="00950935" w:rsidP="00950935">
      <w:pPr>
        <w:rPr>
          <w:rFonts w:cs="Arial"/>
        </w:rPr>
      </w:pPr>
    </w:p>
    <w:p w14:paraId="251F6CB9" w14:textId="77777777" w:rsidR="00950935" w:rsidRPr="00DC2A0E" w:rsidRDefault="00950935" w:rsidP="00950935">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4461"/>
      </w:tblGrid>
      <w:tr w:rsidR="00950935" w:rsidRPr="00EC2357" w14:paraId="6787D940" w14:textId="77777777" w:rsidTr="000E23F9">
        <w:trPr>
          <w:jc w:val="center"/>
        </w:trPr>
        <w:tc>
          <w:tcPr>
            <w:tcW w:w="9288" w:type="dxa"/>
            <w:gridSpan w:val="2"/>
            <w:shd w:val="clear" w:color="auto" w:fill="E6E6E6"/>
            <w:vAlign w:val="center"/>
          </w:tcPr>
          <w:p w14:paraId="419AB7BE" w14:textId="77777777" w:rsidR="00950935" w:rsidRPr="00EC2357" w:rsidRDefault="00950935" w:rsidP="000E23F9">
            <w:pPr>
              <w:spacing w:before="60" w:after="60"/>
              <w:rPr>
                <w:rFonts w:cs="Arial"/>
                <w:b/>
              </w:rPr>
            </w:pPr>
            <w:r w:rsidRPr="00EC2357">
              <w:rPr>
                <w:rFonts w:cs="Arial"/>
                <w:b/>
              </w:rPr>
              <w:t>GENERAL INFORMATION</w:t>
            </w:r>
          </w:p>
        </w:tc>
      </w:tr>
      <w:tr w:rsidR="00950935" w:rsidRPr="00EC2357" w14:paraId="731F87BC" w14:textId="77777777" w:rsidTr="000E23F9">
        <w:trPr>
          <w:jc w:val="center"/>
        </w:trPr>
        <w:tc>
          <w:tcPr>
            <w:tcW w:w="4827" w:type="dxa"/>
            <w:shd w:val="clear" w:color="auto" w:fill="auto"/>
          </w:tcPr>
          <w:p w14:paraId="61A6554C" w14:textId="77777777" w:rsidR="00950935" w:rsidRPr="00374056" w:rsidRDefault="00950935" w:rsidP="000E23F9">
            <w:pPr>
              <w:spacing w:before="60" w:after="60"/>
              <w:rPr>
                <w:rFonts w:cs="Arial"/>
                <w:i/>
              </w:rPr>
            </w:pPr>
            <w:r w:rsidRPr="00374056">
              <w:rPr>
                <w:rFonts w:cs="Arial"/>
                <w:i/>
              </w:rPr>
              <w:t>Awarding Institution//Body</w:t>
            </w:r>
          </w:p>
        </w:tc>
        <w:tc>
          <w:tcPr>
            <w:tcW w:w="4461" w:type="dxa"/>
            <w:shd w:val="clear" w:color="auto" w:fill="auto"/>
            <w:vAlign w:val="center"/>
          </w:tcPr>
          <w:p w14:paraId="452337C6" w14:textId="77777777" w:rsidR="00950935" w:rsidRPr="00EC2357" w:rsidRDefault="00950935" w:rsidP="000E23F9">
            <w:pPr>
              <w:spacing w:before="60" w:after="60"/>
              <w:rPr>
                <w:rFonts w:cs="Arial"/>
              </w:rPr>
            </w:pPr>
            <w:r w:rsidRPr="00EC2357">
              <w:rPr>
                <w:rFonts w:cs="Arial"/>
              </w:rPr>
              <w:t>University of Bath</w:t>
            </w:r>
          </w:p>
        </w:tc>
      </w:tr>
      <w:tr w:rsidR="00950935" w:rsidRPr="00EC2357" w14:paraId="437FAA2D" w14:textId="77777777" w:rsidTr="000E23F9">
        <w:trPr>
          <w:jc w:val="center"/>
        </w:trPr>
        <w:tc>
          <w:tcPr>
            <w:tcW w:w="4827" w:type="dxa"/>
            <w:shd w:val="clear" w:color="auto" w:fill="auto"/>
          </w:tcPr>
          <w:p w14:paraId="1BA72B37" w14:textId="77777777" w:rsidR="00950935" w:rsidRPr="00374056" w:rsidRDefault="00950935" w:rsidP="000E23F9">
            <w:pPr>
              <w:spacing w:before="60" w:after="60"/>
              <w:rPr>
                <w:rFonts w:cs="Arial"/>
                <w:i/>
              </w:rPr>
            </w:pPr>
            <w:r w:rsidRPr="00374056">
              <w:rPr>
                <w:rFonts w:cs="Arial"/>
                <w:i/>
              </w:rPr>
              <w:t>Teaching Institution*</w:t>
            </w:r>
          </w:p>
        </w:tc>
        <w:tc>
          <w:tcPr>
            <w:tcW w:w="4461" w:type="dxa"/>
            <w:shd w:val="clear" w:color="auto" w:fill="auto"/>
            <w:vAlign w:val="center"/>
          </w:tcPr>
          <w:p w14:paraId="77319074" w14:textId="77777777" w:rsidR="00950935" w:rsidRPr="00DD604B" w:rsidRDefault="00950935" w:rsidP="000E23F9">
            <w:pPr>
              <w:spacing w:before="60" w:after="60"/>
              <w:rPr>
                <w:rFonts w:cs="Arial"/>
              </w:rPr>
            </w:pPr>
            <w:r w:rsidRPr="00EC2357">
              <w:rPr>
                <w:rFonts w:cs="Arial"/>
              </w:rPr>
              <w:t>University of Bath</w:t>
            </w:r>
          </w:p>
        </w:tc>
      </w:tr>
      <w:tr w:rsidR="00950935" w:rsidRPr="00EC2357" w14:paraId="7E9724FF" w14:textId="77777777" w:rsidTr="000E23F9">
        <w:trPr>
          <w:jc w:val="center"/>
        </w:trPr>
        <w:tc>
          <w:tcPr>
            <w:tcW w:w="4827" w:type="dxa"/>
            <w:shd w:val="clear" w:color="auto" w:fill="auto"/>
          </w:tcPr>
          <w:p w14:paraId="13B059E4" w14:textId="77777777" w:rsidR="00950935" w:rsidRPr="00374056" w:rsidRDefault="00950935" w:rsidP="000E23F9">
            <w:pPr>
              <w:spacing w:before="60" w:after="60"/>
              <w:rPr>
                <w:rFonts w:cs="Arial"/>
                <w:i/>
              </w:rPr>
            </w:pPr>
            <w:r w:rsidRPr="00374056">
              <w:rPr>
                <w:rFonts w:cs="Arial"/>
                <w:i/>
              </w:rPr>
              <w:t>Validated/Franchised/Licensed (if appropriate)</w:t>
            </w:r>
          </w:p>
        </w:tc>
        <w:tc>
          <w:tcPr>
            <w:tcW w:w="4461" w:type="dxa"/>
            <w:shd w:val="clear" w:color="auto" w:fill="auto"/>
            <w:vAlign w:val="center"/>
          </w:tcPr>
          <w:p w14:paraId="6F7535A0" w14:textId="77777777" w:rsidR="00950935" w:rsidRPr="00DD604B" w:rsidRDefault="00950935" w:rsidP="000E23F9">
            <w:pPr>
              <w:spacing w:before="60" w:after="60"/>
              <w:rPr>
                <w:rFonts w:cs="Arial"/>
              </w:rPr>
            </w:pPr>
            <w:r w:rsidRPr="00DD604B">
              <w:rPr>
                <w:rFonts w:cs="Arial"/>
              </w:rPr>
              <w:t>N/A</w:t>
            </w:r>
          </w:p>
        </w:tc>
      </w:tr>
      <w:tr w:rsidR="00950935" w:rsidRPr="00EC2357" w14:paraId="632AF193" w14:textId="77777777" w:rsidTr="000E23F9">
        <w:trPr>
          <w:jc w:val="center"/>
        </w:trPr>
        <w:tc>
          <w:tcPr>
            <w:tcW w:w="4827" w:type="dxa"/>
            <w:shd w:val="clear" w:color="auto" w:fill="auto"/>
          </w:tcPr>
          <w:p w14:paraId="07733DCE" w14:textId="77777777" w:rsidR="00950935" w:rsidRPr="00374056" w:rsidRDefault="00950935" w:rsidP="000E23F9">
            <w:pPr>
              <w:spacing w:before="60" w:after="60"/>
              <w:rPr>
                <w:rFonts w:cs="Arial"/>
                <w:i/>
              </w:rPr>
            </w:pPr>
            <w:r w:rsidRPr="00374056">
              <w:rPr>
                <w:rFonts w:cs="Arial"/>
                <w:i/>
              </w:rPr>
              <w:t>Programme accredited by (including date of accreditation)*</w:t>
            </w:r>
          </w:p>
        </w:tc>
        <w:tc>
          <w:tcPr>
            <w:tcW w:w="4461" w:type="dxa"/>
            <w:shd w:val="clear" w:color="auto" w:fill="auto"/>
            <w:vAlign w:val="center"/>
          </w:tcPr>
          <w:p w14:paraId="6B16C25A" w14:textId="77777777" w:rsidR="00950935" w:rsidRPr="00DD604B" w:rsidRDefault="00950935" w:rsidP="000E23F9">
            <w:pPr>
              <w:spacing w:before="60" w:after="60"/>
              <w:rPr>
                <w:rFonts w:cs="Arial"/>
              </w:rPr>
            </w:pPr>
            <w:r w:rsidRPr="00DD604B">
              <w:rPr>
                <w:rFonts w:cs="Arial"/>
              </w:rPr>
              <w:t>N/A</w:t>
            </w:r>
          </w:p>
        </w:tc>
      </w:tr>
      <w:tr w:rsidR="00950935" w:rsidRPr="00EC2357" w14:paraId="344F7FB3" w14:textId="77777777" w:rsidTr="000E23F9">
        <w:trPr>
          <w:jc w:val="center"/>
        </w:trPr>
        <w:tc>
          <w:tcPr>
            <w:tcW w:w="4827" w:type="dxa"/>
            <w:shd w:val="clear" w:color="auto" w:fill="auto"/>
          </w:tcPr>
          <w:p w14:paraId="0182906A" w14:textId="77777777" w:rsidR="00950935" w:rsidRPr="00374056" w:rsidRDefault="00950935" w:rsidP="000E23F9">
            <w:pPr>
              <w:spacing w:before="60" w:after="60"/>
              <w:rPr>
                <w:rFonts w:cs="Arial"/>
                <w:i/>
              </w:rPr>
            </w:pPr>
            <w:r w:rsidRPr="00374056">
              <w:rPr>
                <w:rFonts w:cs="Arial"/>
                <w:i/>
              </w:rPr>
              <w:t>Programme approved by (including date &amp; minute number of Senate)</w:t>
            </w:r>
          </w:p>
        </w:tc>
        <w:tc>
          <w:tcPr>
            <w:tcW w:w="4461" w:type="dxa"/>
            <w:shd w:val="clear" w:color="auto" w:fill="auto"/>
            <w:vAlign w:val="center"/>
          </w:tcPr>
          <w:p w14:paraId="08EAD73A" w14:textId="77777777" w:rsidR="00950935" w:rsidRPr="00DD604B" w:rsidRDefault="00950935" w:rsidP="000E23F9">
            <w:pPr>
              <w:spacing w:before="60" w:after="60"/>
              <w:rPr>
                <w:rFonts w:cs="Arial"/>
              </w:rPr>
            </w:pPr>
          </w:p>
        </w:tc>
      </w:tr>
      <w:tr w:rsidR="00950935" w:rsidRPr="00EC2357" w14:paraId="4D9537FE" w14:textId="77777777" w:rsidTr="000E23F9">
        <w:trPr>
          <w:jc w:val="center"/>
        </w:trPr>
        <w:tc>
          <w:tcPr>
            <w:tcW w:w="4827" w:type="dxa"/>
            <w:shd w:val="clear" w:color="auto" w:fill="auto"/>
          </w:tcPr>
          <w:p w14:paraId="68E2BAC6" w14:textId="77777777" w:rsidR="00950935" w:rsidRPr="00374056" w:rsidRDefault="00950935" w:rsidP="000E23F9">
            <w:pPr>
              <w:spacing w:before="60" w:after="60"/>
              <w:rPr>
                <w:rFonts w:cs="Arial"/>
                <w:i/>
              </w:rPr>
            </w:pPr>
            <w:r w:rsidRPr="00374056">
              <w:rPr>
                <w:rFonts w:cs="Arial"/>
                <w:i/>
              </w:rPr>
              <w:t>Final award</w:t>
            </w:r>
          </w:p>
        </w:tc>
        <w:tc>
          <w:tcPr>
            <w:tcW w:w="4461" w:type="dxa"/>
            <w:shd w:val="clear" w:color="auto" w:fill="auto"/>
            <w:vAlign w:val="center"/>
          </w:tcPr>
          <w:p w14:paraId="5D241DB9" w14:textId="77777777" w:rsidR="00950935" w:rsidRPr="00DD604B" w:rsidRDefault="00950935" w:rsidP="000E23F9">
            <w:pPr>
              <w:spacing w:before="60" w:after="60"/>
              <w:rPr>
                <w:rFonts w:cs="Arial"/>
              </w:rPr>
            </w:pPr>
            <w:r w:rsidRPr="00DD604B">
              <w:rPr>
                <w:rFonts w:cs="Arial"/>
              </w:rPr>
              <w:t>Diploma of Higher Education (DiplHE)</w:t>
            </w:r>
          </w:p>
        </w:tc>
      </w:tr>
      <w:tr w:rsidR="00950935" w:rsidRPr="00EC2357" w14:paraId="5415039E" w14:textId="77777777" w:rsidTr="000E23F9">
        <w:trPr>
          <w:jc w:val="center"/>
        </w:trPr>
        <w:tc>
          <w:tcPr>
            <w:tcW w:w="4827" w:type="dxa"/>
            <w:shd w:val="clear" w:color="auto" w:fill="auto"/>
          </w:tcPr>
          <w:p w14:paraId="7091F9CA" w14:textId="77777777" w:rsidR="00950935" w:rsidRPr="00374056" w:rsidRDefault="00950935" w:rsidP="000E23F9">
            <w:pPr>
              <w:spacing w:before="60" w:after="60"/>
              <w:rPr>
                <w:rFonts w:cs="Arial"/>
                <w:i/>
              </w:rPr>
            </w:pPr>
            <w:r w:rsidRPr="00374056">
              <w:rPr>
                <w:rFonts w:cs="Arial"/>
                <w:i/>
              </w:rPr>
              <w:t>Programme title*</w:t>
            </w:r>
          </w:p>
        </w:tc>
        <w:tc>
          <w:tcPr>
            <w:tcW w:w="4461" w:type="dxa"/>
            <w:shd w:val="clear" w:color="auto" w:fill="auto"/>
            <w:vAlign w:val="center"/>
          </w:tcPr>
          <w:p w14:paraId="2B28B784" w14:textId="77777777" w:rsidR="00950935" w:rsidRPr="00DD604B" w:rsidRDefault="00950935" w:rsidP="000E23F9">
            <w:pPr>
              <w:spacing w:before="60" w:after="60"/>
              <w:rPr>
                <w:rFonts w:cs="Arial"/>
              </w:rPr>
            </w:pPr>
            <w:r w:rsidRPr="00DD604B">
              <w:rPr>
                <w:rFonts w:cs="Arial"/>
              </w:rPr>
              <w:t xml:space="preserve">Diploma of Higher Education </w:t>
            </w:r>
          </w:p>
        </w:tc>
      </w:tr>
      <w:tr w:rsidR="00950935" w:rsidRPr="00EC2357" w14:paraId="643D1F6F" w14:textId="77777777" w:rsidTr="000E23F9">
        <w:trPr>
          <w:jc w:val="center"/>
        </w:trPr>
        <w:tc>
          <w:tcPr>
            <w:tcW w:w="4827" w:type="dxa"/>
            <w:shd w:val="clear" w:color="auto" w:fill="auto"/>
          </w:tcPr>
          <w:p w14:paraId="453894DF" w14:textId="77777777" w:rsidR="00950935" w:rsidRPr="00374056" w:rsidRDefault="00950935" w:rsidP="000E23F9">
            <w:pPr>
              <w:spacing w:before="60" w:after="60"/>
              <w:rPr>
                <w:rFonts w:cs="Arial"/>
                <w:i/>
              </w:rPr>
            </w:pPr>
            <w:r w:rsidRPr="00374056">
              <w:rPr>
                <w:rFonts w:cs="Arial"/>
                <w:i/>
              </w:rPr>
              <w:t>UCAS code (if applicable)</w:t>
            </w:r>
          </w:p>
        </w:tc>
        <w:tc>
          <w:tcPr>
            <w:tcW w:w="4461" w:type="dxa"/>
            <w:shd w:val="clear" w:color="auto" w:fill="auto"/>
            <w:vAlign w:val="center"/>
          </w:tcPr>
          <w:p w14:paraId="26B40C00" w14:textId="77777777" w:rsidR="00950935" w:rsidRPr="00DD604B" w:rsidRDefault="00950935" w:rsidP="000E23F9">
            <w:pPr>
              <w:spacing w:before="60" w:after="60"/>
              <w:rPr>
                <w:rFonts w:cs="Arial"/>
              </w:rPr>
            </w:pPr>
            <w:r w:rsidRPr="00DD604B">
              <w:rPr>
                <w:rFonts w:cs="Arial"/>
              </w:rPr>
              <w:t>N/A</w:t>
            </w:r>
          </w:p>
        </w:tc>
      </w:tr>
      <w:tr w:rsidR="00950935" w:rsidRPr="00EC2357" w14:paraId="3782942C" w14:textId="77777777" w:rsidTr="000E23F9">
        <w:trPr>
          <w:jc w:val="center"/>
        </w:trPr>
        <w:tc>
          <w:tcPr>
            <w:tcW w:w="4827" w:type="dxa"/>
            <w:shd w:val="clear" w:color="auto" w:fill="auto"/>
          </w:tcPr>
          <w:p w14:paraId="17EBD173" w14:textId="77777777" w:rsidR="00950935" w:rsidRPr="00374056" w:rsidRDefault="00950935" w:rsidP="000E23F9">
            <w:pPr>
              <w:spacing w:before="60" w:after="60"/>
              <w:rPr>
                <w:rFonts w:cs="Arial"/>
                <w:i/>
              </w:rPr>
            </w:pPr>
            <w:r w:rsidRPr="00374056">
              <w:rPr>
                <w:rFonts w:cs="Arial"/>
                <w:i/>
              </w:rPr>
              <w:t>Subject Benchmark Statement*</w:t>
            </w:r>
          </w:p>
        </w:tc>
        <w:tc>
          <w:tcPr>
            <w:tcW w:w="4461" w:type="dxa"/>
            <w:shd w:val="clear" w:color="auto" w:fill="auto"/>
            <w:vAlign w:val="center"/>
          </w:tcPr>
          <w:p w14:paraId="4CCEE060" w14:textId="77777777" w:rsidR="00950935" w:rsidRPr="00DD604B" w:rsidRDefault="00950935" w:rsidP="000E23F9">
            <w:pPr>
              <w:spacing w:before="60" w:after="60"/>
              <w:rPr>
                <w:rFonts w:cs="Arial"/>
              </w:rPr>
            </w:pPr>
            <w:r w:rsidRPr="00DD604B">
              <w:rPr>
                <w:rFonts w:cs="Arial"/>
              </w:rPr>
              <w:t>N/A Exit award</w:t>
            </w:r>
          </w:p>
        </w:tc>
      </w:tr>
      <w:tr w:rsidR="00950935" w:rsidRPr="00EC2357" w14:paraId="3D028C0F" w14:textId="77777777" w:rsidTr="000E23F9">
        <w:trPr>
          <w:jc w:val="center"/>
        </w:trPr>
        <w:tc>
          <w:tcPr>
            <w:tcW w:w="4827" w:type="dxa"/>
            <w:shd w:val="clear" w:color="auto" w:fill="auto"/>
          </w:tcPr>
          <w:p w14:paraId="277B38E6" w14:textId="77777777" w:rsidR="00950935" w:rsidRPr="00374056" w:rsidRDefault="00950935" w:rsidP="000E23F9">
            <w:pPr>
              <w:spacing w:before="60" w:after="60"/>
              <w:rPr>
                <w:rFonts w:cs="Arial"/>
                <w:i/>
              </w:rPr>
            </w:pPr>
            <w:r w:rsidRPr="00374056">
              <w:rPr>
                <w:rFonts w:cs="Arial"/>
                <w:i/>
              </w:rPr>
              <w:t xml:space="preserve">Intended level of completed programme (in line with </w:t>
            </w:r>
            <w:hyperlink r:id="rId9" w:history="1">
              <w:r w:rsidRPr="00E71A27">
                <w:rPr>
                  <w:rStyle w:val="Hyperlink"/>
                  <w:rFonts w:eastAsiaTheme="majorEastAsia" w:cs="Arial"/>
                  <w:i/>
                </w:rPr>
                <w:t>FHEQ</w:t>
              </w:r>
            </w:hyperlink>
            <w:r w:rsidRPr="00374056">
              <w:rPr>
                <w:rFonts w:cs="Arial"/>
                <w:i/>
              </w:rPr>
              <w:t xml:space="preserve"> </w:t>
            </w:r>
            <w:proofErr w:type="spellStart"/>
            <w:r w:rsidRPr="00374056">
              <w:rPr>
                <w:rFonts w:cs="Arial"/>
                <w:i/>
              </w:rPr>
              <w:t>eg</w:t>
            </w:r>
            <w:proofErr w:type="spellEnd"/>
            <w:r w:rsidRPr="00374056">
              <w:rPr>
                <w:rFonts w:cs="Arial"/>
                <w:i/>
              </w:rPr>
              <w:t xml:space="preserve"> 5, 6, 7)*</w:t>
            </w:r>
          </w:p>
        </w:tc>
        <w:tc>
          <w:tcPr>
            <w:tcW w:w="4461" w:type="dxa"/>
            <w:shd w:val="clear" w:color="auto" w:fill="auto"/>
            <w:vAlign w:val="center"/>
          </w:tcPr>
          <w:p w14:paraId="3D428C06" w14:textId="77777777" w:rsidR="00950935" w:rsidRPr="00DD604B" w:rsidRDefault="00950935" w:rsidP="000E23F9">
            <w:pPr>
              <w:spacing w:before="60" w:after="60"/>
              <w:rPr>
                <w:rFonts w:cs="Arial"/>
              </w:rPr>
            </w:pPr>
            <w:r w:rsidRPr="00DD604B">
              <w:rPr>
                <w:rFonts w:cs="Arial"/>
              </w:rPr>
              <w:t>FHEQ level 5</w:t>
            </w:r>
          </w:p>
        </w:tc>
      </w:tr>
      <w:tr w:rsidR="00950935" w:rsidRPr="00EC2357" w14:paraId="26BE7483" w14:textId="77777777" w:rsidTr="000E23F9">
        <w:trPr>
          <w:jc w:val="center"/>
        </w:trPr>
        <w:tc>
          <w:tcPr>
            <w:tcW w:w="4827" w:type="dxa"/>
            <w:shd w:val="clear" w:color="auto" w:fill="auto"/>
          </w:tcPr>
          <w:p w14:paraId="25C3F909" w14:textId="77777777" w:rsidR="00950935" w:rsidRPr="00374056" w:rsidRDefault="00950935" w:rsidP="000E23F9">
            <w:pPr>
              <w:spacing w:before="60" w:after="60"/>
              <w:rPr>
                <w:rFonts w:cs="Arial"/>
                <w:i/>
              </w:rPr>
            </w:pPr>
            <w:r w:rsidRPr="00374056">
              <w:rPr>
                <w:rFonts w:cs="Arial"/>
                <w:i/>
              </w:rPr>
              <w:t>Duration of programme &amp; mode of study*</w:t>
            </w:r>
          </w:p>
        </w:tc>
        <w:tc>
          <w:tcPr>
            <w:tcW w:w="4461" w:type="dxa"/>
            <w:shd w:val="clear" w:color="auto" w:fill="auto"/>
            <w:vAlign w:val="center"/>
          </w:tcPr>
          <w:p w14:paraId="6A35A316" w14:textId="77777777" w:rsidR="00950935" w:rsidRPr="00DD604B" w:rsidRDefault="00950935" w:rsidP="000E23F9">
            <w:pPr>
              <w:spacing w:before="60" w:after="60"/>
              <w:rPr>
                <w:rFonts w:cs="Arial"/>
              </w:rPr>
            </w:pPr>
            <w:r w:rsidRPr="00DD604B">
              <w:rPr>
                <w:rFonts w:cs="Arial"/>
              </w:rPr>
              <w:t>Equivalent to 2 academic years’ full time study</w:t>
            </w:r>
          </w:p>
        </w:tc>
      </w:tr>
      <w:tr w:rsidR="00950935" w:rsidRPr="00EC2357" w14:paraId="622D73E8" w14:textId="77777777" w:rsidTr="000E23F9">
        <w:trPr>
          <w:jc w:val="center"/>
        </w:trPr>
        <w:tc>
          <w:tcPr>
            <w:tcW w:w="4827" w:type="dxa"/>
            <w:shd w:val="clear" w:color="auto" w:fill="auto"/>
          </w:tcPr>
          <w:p w14:paraId="7388802E" w14:textId="77777777" w:rsidR="00950935" w:rsidRPr="00374056" w:rsidRDefault="00950935" w:rsidP="000E23F9">
            <w:pPr>
              <w:spacing w:before="60" w:after="60"/>
              <w:rPr>
                <w:rFonts w:cs="Arial"/>
                <w:i/>
              </w:rPr>
            </w:pPr>
            <w:r w:rsidRPr="00374056">
              <w:rPr>
                <w:rFonts w:cs="Arial"/>
                <w:i/>
              </w:rPr>
              <w:t>Date of Specification preparation/revision*</w:t>
            </w:r>
          </w:p>
        </w:tc>
        <w:tc>
          <w:tcPr>
            <w:tcW w:w="4461" w:type="dxa"/>
            <w:shd w:val="clear" w:color="auto" w:fill="auto"/>
            <w:vAlign w:val="center"/>
          </w:tcPr>
          <w:p w14:paraId="56AA6690" w14:textId="77777777" w:rsidR="00950935" w:rsidRPr="00DD604B" w:rsidRDefault="00950935" w:rsidP="000E23F9">
            <w:pPr>
              <w:spacing w:before="60" w:after="60"/>
              <w:rPr>
                <w:rFonts w:cs="Arial"/>
              </w:rPr>
            </w:pPr>
            <w:r w:rsidRPr="00DD604B">
              <w:rPr>
                <w:rFonts w:cs="Arial"/>
              </w:rPr>
              <w:t>May 2014</w:t>
            </w:r>
            <w:r>
              <w:rPr>
                <w:rFonts w:cs="Arial"/>
              </w:rPr>
              <w:t>, updated Nov 2016</w:t>
            </w:r>
            <w:r>
              <w:rPr>
                <w:rFonts w:cs="Arial"/>
                <w:szCs w:val="22"/>
              </w:rPr>
              <w:t xml:space="preserve"> and June 2021</w:t>
            </w:r>
          </w:p>
        </w:tc>
      </w:tr>
      <w:tr w:rsidR="00950935" w:rsidRPr="00EC2357" w14:paraId="7BADD0F2" w14:textId="77777777" w:rsidTr="000E23F9">
        <w:trPr>
          <w:jc w:val="center"/>
        </w:trPr>
        <w:tc>
          <w:tcPr>
            <w:tcW w:w="4827" w:type="dxa"/>
            <w:shd w:val="clear" w:color="auto" w:fill="auto"/>
          </w:tcPr>
          <w:p w14:paraId="04C48412" w14:textId="77777777" w:rsidR="00950935" w:rsidRPr="00374056" w:rsidRDefault="00950935" w:rsidP="000E23F9">
            <w:pPr>
              <w:spacing w:before="60" w:after="60"/>
              <w:rPr>
                <w:rFonts w:cs="Arial"/>
                <w:i/>
              </w:rPr>
            </w:pPr>
            <w:r w:rsidRPr="00374056">
              <w:rPr>
                <w:rFonts w:cs="Arial"/>
                <w:i/>
              </w:rPr>
              <w:t>Applicable to cohorts (</w:t>
            </w:r>
            <w:proofErr w:type="spellStart"/>
            <w:r w:rsidRPr="00374056">
              <w:rPr>
                <w:rFonts w:cs="Arial"/>
                <w:i/>
              </w:rPr>
              <w:t>eg.</w:t>
            </w:r>
            <w:proofErr w:type="spellEnd"/>
            <w:r w:rsidRPr="00374056">
              <w:rPr>
                <w:rFonts w:cs="Arial"/>
                <w:i/>
              </w:rPr>
              <w:t xml:space="preserve"> for students commencing in September 2013 or 20013/14-2014/15)*</w:t>
            </w:r>
          </w:p>
        </w:tc>
        <w:tc>
          <w:tcPr>
            <w:tcW w:w="4461" w:type="dxa"/>
            <w:shd w:val="clear" w:color="auto" w:fill="auto"/>
            <w:vAlign w:val="center"/>
          </w:tcPr>
          <w:p w14:paraId="020B5287" w14:textId="77777777" w:rsidR="00950935" w:rsidRDefault="00950935" w:rsidP="000E23F9">
            <w:pPr>
              <w:spacing w:before="60" w:after="60"/>
              <w:rPr>
                <w:rFonts w:cs="Arial"/>
              </w:rPr>
            </w:pPr>
            <w:r>
              <w:rPr>
                <w:rFonts w:cs="Arial"/>
              </w:rPr>
              <w:t>Applicable from the 2014/15 academic year.</w:t>
            </w:r>
          </w:p>
          <w:p w14:paraId="0769AA10" w14:textId="77777777" w:rsidR="00950935" w:rsidRPr="00DD604B" w:rsidRDefault="00950935" w:rsidP="000E23F9">
            <w:pPr>
              <w:spacing w:before="60" w:after="60"/>
              <w:rPr>
                <w:rFonts w:cs="Arial"/>
              </w:rPr>
            </w:pPr>
            <w:r w:rsidRPr="00223B06">
              <w:rPr>
                <w:rFonts w:cs="Arial"/>
              </w:rPr>
              <w:t>Aegrotat</w:t>
            </w:r>
            <w:r>
              <w:rPr>
                <w:rFonts w:cs="Arial"/>
              </w:rPr>
              <w:t xml:space="preserve"> consideration applicable for students current at the start of the 2020/21 academic year and thereafter.</w:t>
            </w:r>
          </w:p>
        </w:tc>
      </w:tr>
    </w:tbl>
    <w:p w14:paraId="5635E065" w14:textId="77777777" w:rsidR="00950935" w:rsidRDefault="00950935" w:rsidP="00950935">
      <w:pPr>
        <w:rPr>
          <w:rFonts w:cs="Arial"/>
        </w:rPr>
      </w:pPr>
    </w:p>
    <w:p w14:paraId="5294DEB1" w14:textId="77777777" w:rsidR="00F80715" w:rsidRDefault="00F80715">
      <w:r>
        <w:br w:type="page"/>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50935" w:rsidRPr="00EC2357" w14:paraId="3369132E" w14:textId="77777777" w:rsidTr="00A43F89">
        <w:trPr>
          <w:jc w:val="center"/>
        </w:trPr>
        <w:tc>
          <w:tcPr>
            <w:tcW w:w="9288" w:type="dxa"/>
            <w:tcBorders>
              <w:bottom w:val="dashed" w:sz="4" w:space="0" w:color="auto"/>
            </w:tcBorders>
            <w:shd w:val="clear" w:color="auto" w:fill="auto"/>
          </w:tcPr>
          <w:p w14:paraId="6BEE636C" w14:textId="2A31C665" w:rsidR="00950935" w:rsidRPr="00EC2357" w:rsidRDefault="00950935" w:rsidP="000E23F9">
            <w:pPr>
              <w:spacing w:before="120" w:after="60"/>
              <w:rPr>
                <w:rFonts w:cs="Arial"/>
              </w:rPr>
            </w:pPr>
            <w:r w:rsidRPr="00EC2357">
              <w:rPr>
                <w:rFonts w:cs="Arial"/>
                <w:b/>
              </w:rPr>
              <w:lastRenderedPageBreak/>
              <w:t>Synopsis and academic coherence of programme*</w:t>
            </w:r>
          </w:p>
        </w:tc>
      </w:tr>
      <w:tr w:rsidR="00950935" w:rsidRPr="00EC2357" w14:paraId="7882CB74" w14:textId="77777777" w:rsidTr="00A43F89">
        <w:trPr>
          <w:jc w:val="center"/>
        </w:trPr>
        <w:tc>
          <w:tcPr>
            <w:tcW w:w="9288" w:type="dxa"/>
            <w:tcBorders>
              <w:top w:val="dashed" w:sz="4" w:space="0" w:color="auto"/>
            </w:tcBorders>
            <w:shd w:val="clear" w:color="auto" w:fill="auto"/>
          </w:tcPr>
          <w:p w14:paraId="6111A9BF" w14:textId="77777777" w:rsidR="00950935" w:rsidRDefault="00950935" w:rsidP="000E23F9">
            <w:pPr>
              <w:spacing w:before="60" w:after="60"/>
              <w:rPr>
                <w:rFonts w:cs="Arial"/>
              </w:rPr>
            </w:pPr>
            <w:r>
              <w:rPr>
                <w:rFonts w:cs="Arial"/>
              </w:rPr>
              <w:t>The Diploma</w:t>
            </w:r>
            <w:r w:rsidRPr="00252474">
              <w:rPr>
                <w:rFonts w:cs="Arial"/>
              </w:rPr>
              <w:t xml:space="preserve"> of Higher Education may be awarded by the University</w:t>
            </w:r>
            <w:r>
              <w:rPr>
                <w:rFonts w:cs="Arial"/>
              </w:rPr>
              <w:t>, in line with the provisions of the assessment regulations, as an exit award to those students who have met the requirements for the DiplHE but do not continue with their original programme of study.</w:t>
            </w:r>
          </w:p>
          <w:p w14:paraId="7DA9DCA6" w14:textId="77777777" w:rsidR="00950935" w:rsidRPr="00E25C45" w:rsidRDefault="00950935" w:rsidP="000E23F9">
            <w:pPr>
              <w:widowControl/>
              <w:jc w:val="left"/>
              <w:rPr>
                <w:rFonts w:cs="Arial"/>
                <w:szCs w:val="22"/>
              </w:rPr>
            </w:pPr>
            <w:r w:rsidRPr="00E25C45">
              <w:rPr>
                <w:rFonts w:cs="Arial"/>
                <w:szCs w:val="22"/>
              </w:rPr>
              <w:t xml:space="preserve">The </w:t>
            </w:r>
            <w:proofErr w:type="spellStart"/>
            <w:r w:rsidRPr="00E25C45">
              <w:rPr>
                <w:rFonts w:cs="Arial"/>
                <w:szCs w:val="22"/>
              </w:rPr>
              <w:t>DiplHE</w:t>
            </w:r>
            <w:proofErr w:type="spellEnd"/>
            <w:r w:rsidRPr="00E25C45">
              <w:rPr>
                <w:rFonts w:cs="Arial"/>
                <w:szCs w:val="22"/>
              </w:rPr>
              <w:t xml:space="preserve"> may also be granted </w:t>
            </w:r>
            <w:r>
              <w:rPr>
                <w:rFonts w:cs="Arial"/>
              </w:rPr>
              <w:t xml:space="preserve">in extraordinary circumstances </w:t>
            </w:r>
            <w:r w:rsidRPr="00E25C45">
              <w:rPr>
                <w:rFonts w:cs="Arial"/>
                <w:szCs w:val="22"/>
              </w:rPr>
              <w:t>as an aegrotat award in line with the provisions of Ordinances 14.8 and 14.9, where the student is deemed to have passed a substantial proportion of their programme's requirements at FHEQ Level 4 and a substantial portion of their programme’s requirements at FHEQ level 5.</w:t>
            </w:r>
          </w:p>
        </w:tc>
      </w:tr>
      <w:tr w:rsidR="00950935" w:rsidRPr="00EC2357" w14:paraId="1CAA2E6C" w14:textId="77777777" w:rsidTr="00A43F89">
        <w:trPr>
          <w:jc w:val="center"/>
        </w:trPr>
        <w:tc>
          <w:tcPr>
            <w:tcW w:w="9288" w:type="dxa"/>
            <w:tcBorders>
              <w:bottom w:val="dashed" w:sz="4" w:space="0" w:color="auto"/>
            </w:tcBorders>
            <w:shd w:val="clear" w:color="auto" w:fill="auto"/>
          </w:tcPr>
          <w:p w14:paraId="4CC42AC9" w14:textId="77777777" w:rsidR="00950935" w:rsidRPr="00EC2357" w:rsidRDefault="00950935" w:rsidP="000E23F9">
            <w:pPr>
              <w:spacing w:before="120" w:after="60"/>
              <w:rPr>
                <w:rFonts w:cs="Arial"/>
              </w:rPr>
            </w:pPr>
            <w:r w:rsidRPr="00EC2357">
              <w:rPr>
                <w:rFonts w:cs="Arial"/>
                <w:b/>
              </w:rPr>
              <w:t>Educational aims of the programme*</w:t>
            </w:r>
          </w:p>
        </w:tc>
      </w:tr>
      <w:tr w:rsidR="00950935" w:rsidRPr="00EC2357" w14:paraId="396C85C2" w14:textId="77777777" w:rsidTr="00A43F89">
        <w:trPr>
          <w:jc w:val="center"/>
        </w:trPr>
        <w:tc>
          <w:tcPr>
            <w:tcW w:w="9288" w:type="dxa"/>
            <w:tcBorders>
              <w:top w:val="dashed" w:sz="4" w:space="0" w:color="auto"/>
            </w:tcBorders>
            <w:shd w:val="clear" w:color="auto" w:fill="auto"/>
          </w:tcPr>
          <w:p w14:paraId="47C3B110" w14:textId="77777777" w:rsidR="00950935" w:rsidRPr="00EC2357" w:rsidRDefault="00950935" w:rsidP="000E23F9">
            <w:pPr>
              <w:spacing w:before="60" w:after="60"/>
              <w:rPr>
                <w:rFonts w:cs="Arial"/>
              </w:rPr>
            </w:pPr>
            <w:r>
              <w:rPr>
                <w:rFonts w:cs="Arial"/>
              </w:rPr>
              <w:t>The overall aim is to recognise academic achievement at FHEQ level 4 and 5.</w:t>
            </w:r>
          </w:p>
        </w:tc>
      </w:tr>
    </w:tbl>
    <w:p w14:paraId="055448F3" w14:textId="3C178E40" w:rsidR="00A43F89" w:rsidRDefault="00A43F89"/>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950935" w:rsidRPr="00EC2357" w14:paraId="2231390E" w14:textId="77777777" w:rsidTr="00A43F89">
        <w:trPr>
          <w:jc w:val="center"/>
        </w:trPr>
        <w:tc>
          <w:tcPr>
            <w:tcW w:w="9288" w:type="dxa"/>
            <w:gridSpan w:val="2"/>
            <w:shd w:val="clear" w:color="auto" w:fill="auto"/>
          </w:tcPr>
          <w:p w14:paraId="1354403E" w14:textId="2198FDFB" w:rsidR="00950935" w:rsidRPr="00EC2357" w:rsidRDefault="00950935" w:rsidP="000E23F9">
            <w:pPr>
              <w:spacing w:before="120" w:after="60"/>
              <w:rPr>
                <w:rFonts w:cs="Arial"/>
              </w:rPr>
            </w:pPr>
            <w:r w:rsidRPr="00EC2357">
              <w:rPr>
                <w:rFonts w:cs="Arial"/>
                <w:b/>
              </w:rPr>
              <w:t xml:space="preserve">Intended </w:t>
            </w:r>
            <w:r>
              <w:rPr>
                <w:rFonts w:cs="Arial"/>
                <w:b/>
              </w:rPr>
              <w:t xml:space="preserve">FHEQ-level </w:t>
            </w:r>
            <w:r w:rsidRPr="00EC2357">
              <w:rPr>
                <w:rFonts w:cs="Arial"/>
                <w:b/>
              </w:rPr>
              <w:t xml:space="preserve">learning outcomes * </w:t>
            </w:r>
          </w:p>
        </w:tc>
      </w:tr>
      <w:tr w:rsidR="00950935" w:rsidRPr="00EC2357" w14:paraId="281D1B2E" w14:textId="77777777" w:rsidTr="00A43F89">
        <w:trPr>
          <w:jc w:val="center"/>
        </w:trPr>
        <w:tc>
          <w:tcPr>
            <w:tcW w:w="3528" w:type="dxa"/>
            <w:shd w:val="clear" w:color="auto" w:fill="auto"/>
          </w:tcPr>
          <w:p w14:paraId="5566A035" w14:textId="77777777" w:rsidR="00950935" w:rsidRPr="00EC2357" w:rsidRDefault="00950935" w:rsidP="00950935">
            <w:pPr>
              <w:widowControl/>
              <w:numPr>
                <w:ilvl w:val="0"/>
                <w:numId w:val="1"/>
              </w:numPr>
              <w:spacing w:before="60" w:after="60"/>
              <w:jc w:val="left"/>
              <w:rPr>
                <w:rFonts w:cs="Arial"/>
              </w:rPr>
            </w:pPr>
            <w:r w:rsidRPr="00EC2357">
              <w:rPr>
                <w:rFonts w:cs="Arial"/>
              </w:rPr>
              <w:t>Knowledge &amp; Understanding:</w:t>
            </w:r>
          </w:p>
        </w:tc>
        <w:tc>
          <w:tcPr>
            <w:tcW w:w="5760" w:type="dxa"/>
            <w:shd w:val="clear" w:color="auto" w:fill="auto"/>
          </w:tcPr>
          <w:p w14:paraId="5D1CEE17" w14:textId="77777777" w:rsidR="00950935" w:rsidRPr="00B15A9A" w:rsidRDefault="00950935" w:rsidP="00950935">
            <w:pPr>
              <w:widowControl/>
              <w:numPr>
                <w:ilvl w:val="0"/>
                <w:numId w:val="2"/>
              </w:numPr>
              <w:tabs>
                <w:tab w:val="clear" w:pos="438"/>
              </w:tabs>
              <w:autoSpaceDE w:val="0"/>
              <w:autoSpaceDN w:val="0"/>
              <w:adjustRightInd w:val="0"/>
              <w:ind w:left="300" w:hanging="300"/>
              <w:jc w:val="left"/>
              <w:rPr>
                <w:rFonts w:cs="Arial"/>
                <w:lang w:eastAsia="en-GB"/>
              </w:rPr>
            </w:pPr>
            <w:r w:rsidRPr="00981F52">
              <w:rPr>
                <w:rFonts w:cs="Arial"/>
                <w:szCs w:val="22"/>
                <w:lang w:eastAsia="en-GB"/>
              </w:rPr>
              <w:t>Demonstrate a detailed knowledge of major theories</w:t>
            </w:r>
            <w:r>
              <w:rPr>
                <w:rFonts w:cs="Arial"/>
                <w:szCs w:val="22"/>
                <w:lang w:eastAsia="en-GB"/>
              </w:rPr>
              <w:t>, concepts and techniques of the discipline(s);</w:t>
            </w:r>
          </w:p>
          <w:p w14:paraId="39E6C438" w14:textId="77777777" w:rsidR="00950935" w:rsidRDefault="00950935" w:rsidP="00950935">
            <w:pPr>
              <w:widowControl/>
              <w:numPr>
                <w:ilvl w:val="0"/>
                <w:numId w:val="2"/>
              </w:numPr>
              <w:tabs>
                <w:tab w:val="clear" w:pos="438"/>
              </w:tabs>
              <w:autoSpaceDE w:val="0"/>
              <w:autoSpaceDN w:val="0"/>
              <w:adjustRightInd w:val="0"/>
              <w:ind w:left="300" w:hanging="300"/>
              <w:jc w:val="left"/>
              <w:rPr>
                <w:rFonts w:cs="Arial"/>
                <w:lang w:eastAsia="en-GB"/>
              </w:rPr>
            </w:pPr>
            <w:r>
              <w:rPr>
                <w:rFonts w:cs="Arial"/>
                <w:szCs w:val="22"/>
                <w:lang w:eastAsia="en-GB"/>
              </w:rPr>
              <w:t xml:space="preserve">Demonstrate an </w:t>
            </w:r>
            <w:r w:rsidRPr="00981F52">
              <w:rPr>
                <w:rFonts w:cs="Arial"/>
                <w:szCs w:val="22"/>
                <w:lang w:eastAsia="en-GB"/>
              </w:rPr>
              <w:t>awareness of a variety of</w:t>
            </w:r>
            <w:r>
              <w:rPr>
                <w:rFonts w:cs="Arial"/>
                <w:szCs w:val="22"/>
                <w:lang w:eastAsia="en-GB"/>
              </w:rPr>
              <w:t xml:space="preserve"> ideas, contexts and frameworks and the limitations of these</w:t>
            </w:r>
            <w:r>
              <w:rPr>
                <w:rFonts w:cs="Arial"/>
                <w:lang w:eastAsia="en-GB"/>
              </w:rPr>
              <w:t>.</w:t>
            </w:r>
          </w:p>
          <w:p w14:paraId="65026658" w14:textId="77777777" w:rsidR="00950935" w:rsidRPr="00B15A9A" w:rsidRDefault="00950935" w:rsidP="00950935">
            <w:pPr>
              <w:widowControl/>
              <w:numPr>
                <w:ilvl w:val="0"/>
                <w:numId w:val="2"/>
              </w:numPr>
              <w:tabs>
                <w:tab w:val="clear" w:pos="438"/>
              </w:tabs>
              <w:autoSpaceDE w:val="0"/>
              <w:autoSpaceDN w:val="0"/>
              <w:adjustRightInd w:val="0"/>
              <w:ind w:left="300" w:hanging="300"/>
              <w:jc w:val="left"/>
              <w:rPr>
                <w:rFonts w:cs="Arial"/>
                <w:lang w:eastAsia="en-GB"/>
              </w:rPr>
            </w:pPr>
            <w:r>
              <w:rPr>
                <w:rFonts w:cs="Arial"/>
                <w:lang w:eastAsia="en-GB"/>
              </w:rPr>
              <w:t>Demonstrate an understanding of the main methods of enquiry in the discipline(s).</w:t>
            </w:r>
          </w:p>
        </w:tc>
      </w:tr>
      <w:tr w:rsidR="00950935" w:rsidRPr="00EC2357" w14:paraId="37D71B48" w14:textId="77777777" w:rsidTr="00A43F89">
        <w:trPr>
          <w:jc w:val="center"/>
        </w:trPr>
        <w:tc>
          <w:tcPr>
            <w:tcW w:w="3528" w:type="dxa"/>
            <w:shd w:val="clear" w:color="auto" w:fill="auto"/>
          </w:tcPr>
          <w:p w14:paraId="7FA88C0C" w14:textId="77777777" w:rsidR="00950935" w:rsidRPr="00EC2357" w:rsidRDefault="00950935" w:rsidP="00950935">
            <w:pPr>
              <w:widowControl/>
              <w:numPr>
                <w:ilvl w:val="0"/>
                <w:numId w:val="1"/>
              </w:numPr>
              <w:spacing w:before="60" w:after="60"/>
              <w:jc w:val="left"/>
              <w:rPr>
                <w:rFonts w:cs="Arial"/>
              </w:rPr>
            </w:pPr>
            <w:r w:rsidRPr="00EC2357">
              <w:rPr>
                <w:rFonts w:cs="Arial"/>
              </w:rPr>
              <w:t>Intellectual Skills:</w:t>
            </w:r>
          </w:p>
        </w:tc>
        <w:tc>
          <w:tcPr>
            <w:tcW w:w="5760" w:type="dxa"/>
            <w:shd w:val="clear" w:color="auto" w:fill="auto"/>
          </w:tcPr>
          <w:p w14:paraId="0011AE7C" w14:textId="77777777" w:rsidR="00950935" w:rsidRPr="00981F52" w:rsidRDefault="00950935" w:rsidP="00950935">
            <w:pPr>
              <w:widowControl/>
              <w:numPr>
                <w:ilvl w:val="0"/>
                <w:numId w:val="3"/>
              </w:numPr>
              <w:tabs>
                <w:tab w:val="clear" w:pos="360"/>
              </w:tabs>
              <w:autoSpaceDE w:val="0"/>
              <w:autoSpaceDN w:val="0"/>
              <w:adjustRightInd w:val="0"/>
              <w:ind w:left="300" w:right="342" w:hanging="300"/>
              <w:jc w:val="left"/>
              <w:rPr>
                <w:rFonts w:cs="Arial"/>
                <w:lang w:eastAsia="en-GB"/>
              </w:rPr>
            </w:pPr>
            <w:r w:rsidRPr="00981F52">
              <w:rPr>
                <w:rFonts w:cs="Arial"/>
                <w:szCs w:val="22"/>
                <w:lang w:eastAsia="en-GB"/>
              </w:rPr>
              <w:t>Analyse a range of information with minimum guidance using given classifications/principles and compare alternative methods and techniques for obtaining data;</w:t>
            </w:r>
          </w:p>
          <w:p w14:paraId="415F83EB" w14:textId="77777777" w:rsidR="00950935" w:rsidRPr="00981F52" w:rsidRDefault="00950935" w:rsidP="00950935">
            <w:pPr>
              <w:widowControl/>
              <w:numPr>
                <w:ilvl w:val="0"/>
                <w:numId w:val="3"/>
              </w:numPr>
              <w:tabs>
                <w:tab w:val="clear" w:pos="360"/>
              </w:tabs>
              <w:autoSpaceDE w:val="0"/>
              <w:autoSpaceDN w:val="0"/>
              <w:adjustRightInd w:val="0"/>
              <w:ind w:left="300" w:right="342" w:hanging="300"/>
              <w:jc w:val="left"/>
              <w:rPr>
                <w:rFonts w:cs="Arial"/>
                <w:lang w:eastAsia="en-GB"/>
              </w:rPr>
            </w:pPr>
            <w:r w:rsidRPr="00981F52">
              <w:rPr>
                <w:rFonts w:cs="Arial"/>
                <w:szCs w:val="22"/>
                <w:lang w:eastAsia="en-GB"/>
              </w:rPr>
              <w:t>Reform</w:t>
            </w:r>
            <w:r>
              <w:rPr>
                <w:rFonts w:cs="Arial"/>
                <w:szCs w:val="22"/>
                <w:lang w:eastAsia="en-GB"/>
              </w:rPr>
              <w:t>ul</w:t>
            </w:r>
            <w:r w:rsidRPr="00981F52">
              <w:rPr>
                <w:rFonts w:cs="Arial"/>
                <w:szCs w:val="22"/>
                <w:lang w:eastAsia="en-GB"/>
              </w:rPr>
              <w:t>at</w:t>
            </w:r>
            <w:r>
              <w:rPr>
                <w:rFonts w:cs="Arial"/>
                <w:szCs w:val="22"/>
                <w:lang w:eastAsia="en-GB"/>
              </w:rPr>
              <w:t>e</w:t>
            </w:r>
            <w:r w:rsidRPr="00981F52">
              <w:rPr>
                <w:rFonts w:cs="Arial"/>
                <w:szCs w:val="22"/>
                <w:lang w:eastAsia="en-GB"/>
              </w:rPr>
              <w:t xml:space="preserve"> a range of ideas and information towards a given purpose;</w:t>
            </w:r>
          </w:p>
          <w:p w14:paraId="0854A30C" w14:textId="77777777" w:rsidR="00950935" w:rsidRPr="00981F52" w:rsidRDefault="00950935" w:rsidP="00950935">
            <w:pPr>
              <w:widowControl/>
              <w:numPr>
                <w:ilvl w:val="0"/>
                <w:numId w:val="3"/>
              </w:numPr>
              <w:tabs>
                <w:tab w:val="clear" w:pos="360"/>
              </w:tabs>
              <w:autoSpaceDE w:val="0"/>
              <w:autoSpaceDN w:val="0"/>
              <w:adjustRightInd w:val="0"/>
              <w:ind w:left="300" w:right="342" w:hanging="300"/>
              <w:jc w:val="left"/>
              <w:rPr>
                <w:rFonts w:cs="Arial"/>
                <w:lang w:eastAsia="en-GB"/>
              </w:rPr>
            </w:pPr>
            <w:r w:rsidRPr="00981F52">
              <w:rPr>
                <w:rFonts w:cs="Arial"/>
                <w:szCs w:val="22"/>
                <w:lang w:eastAsia="en-GB"/>
              </w:rPr>
              <w:t>Select appropriate techniques of evaluation and evaluate the relevance and significance of the data collected;</w:t>
            </w:r>
          </w:p>
          <w:p w14:paraId="31FFA7DA" w14:textId="77777777" w:rsidR="00950935" w:rsidRPr="00981F52" w:rsidRDefault="00950935" w:rsidP="00950935">
            <w:pPr>
              <w:widowControl/>
              <w:numPr>
                <w:ilvl w:val="0"/>
                <w:numId w:val="2"/>
              </w:numPr>
              <w:tabs>
                <w:tab w:val="clear" w:pos="438"/>
              </w:tabs>
              <w:autoSpaceDE w:val="0"/>
              <w:autoSpaceDN w:val="0"/>
              <w:adjustRightInd w:val="0"/>
              <w:ind w:left="300" w:hanging="300"/>
              <w:jc w:val="left"/>
              <w:rPr>
                <w:rFonts w:cs="Arial"/>
                <w:lang w:eastAsia="en-GB"/>
              </w:rPr>
            </w:pPr>
            <w:r w:rsidRPr="00981F52">
              <w:rPr>
                <w:rFonts w:cs="Arial"/>
                <w:szCs w:val="22"/>
                <w:lang w:eastAsia="en-GB"/>
              </w:rPr>
              <w:t>Identify key elements of problems and choose appropriate methods for their resolution in a considered manner.</w:t>
            </w:r>
          </w:p>
        </w:tc>
      </w:tr>
      <w:tr w:rsidR="00950935" w:rsidRPr="00EC2357" w14:paraId="6A1CDE27" w14:textId="77777777" w:rsidTr="00A43F89">
        <w:trPr>
          <w:jc w:val="center"/>
        </w:trPr>
        <w:tc>
          <w:tcPr>
            <w:tcW w:w="3528" w:type="dxa"/>
            <w:shd w:val="clear" w:color="auto" w:fill="auto"/>
          </w:tcPr>
          <w:p w14:paraId="523E5EC4" w14:textId="77777777" w:rsidR="00950935" w:rsidRPr="00EC2357" w:rsidRDefault="00950935" w:rsidP="00950935">
            <w:pPr>
              <w:widowControl/>
              <w:numPr>
                <w:ilvl w:val="0"/>
                <w:numId w:val="1"/>
              </w:numPr>
              <w:spacing w:before="60" w:after="60"/>
              <w:jc w:val="left"/>
              <w:rPr>
                <w:rFonts w:cs="Arial"/>
              </w:rPr>
            </w:pPr>
            <w:r w:rsidRPr="00EC2357">
              <w:rPr>
                <w:rFonts w:cs="Arial"/>
              </w:rPr>
              <w:t>Professional Practical Skills:</w:t>
            </w:r>
          </w:p>
        </w:tc>
        <w:tc>
          <w:tcPr>
            <w:tcW w:w="5760" w:type="dxa"/>
            <w:shd w:val="clear" w:color="auto" w:fill="auto"/>
          </w:tcPr>
          <w:p w14:paraId="3DC6553A" w14:textId="77777777" w:rsidR="00950935" w:rsidRPr="00981F52" w:rsidRDefault="00950935" w:rsidP="00950935">
            <w:pPr>
              <w:widowControl/>
              <w:numPr>
                <w:ilvl w:val="0"/>
                <w:numId w:val="4"/>
              </w:numPr>
              <w:tabs>
                <w:tab w:val="clear" w:pos="360"/>
              </w:tabs>
              <w:autoSpaceDE w:val="0"/>
              <w:autoSpaceDN w:val="0"/>
              <w:adjustRightInd w:val="0"/>
              <w:ind w:left="300" w:hanging="300"/>
              <w:jc w:val="left"/>
              <w:rPr>
                <w:rFonts w:cs="Arial"/>
                <w:lang w:eastAsia="en-GB"/>
              </w:rPr>
            </w:pPr>
            <w:r w:rsidRPr="00981F52">
              <w:rPr>
                <w:rFonts w:cs="Arial"/>
                <w:bCs/>
                <w:szCs w:val="22"/>
                <w:lang w:eastAsia="en-GB"/>
              </w:rPr>
              <w:t>O</w:t>
            </w:r>
            <w:r w:rsidRPr="00981F52">
              <w:rPr>
                <w:rFonts w:cs="Arial"/>
                <w:szCs w:val="22"/>
                <w:lang w:eastAsia="en-GB"/>
              </w:rPr>
              <w:t>perate in situations of varying complexity and predictability requiring application of a wide range of techniques;</w:t>
            </w:r>
          </w:p>
          <w:p w14:paraId="7CC06B9B" w14:textId="77777777" w:rsidR="00950935" w:rsidRPr="005B4B03" w:rsidRDefault="00950935" w:rsidP="00950935">
            <w:pPr>
              <w:widowControl/>
              <w:numPr>
                <w:ilvl w:val="0"/>
                <w:numId w:val="2"/>
              </w:numPr>
              <w:tabs>
                <w:tab w:val="clear" w:pos="438"/>
              </w:tabs>
              <w:autoSpaceDE w:val="0"/>
              <w:autoSpaceDN w:val="0"/>
              <w:adjustRightInd w:val="0"/>
              <w:ind w:left="300" w:hanging="300"/>
              <w:jc w:val="left"/>
              <w:rPr>
                <w:rFonts w:cs="Arial"/>
                <w:lang w:eastAsia="en-GB"/>
              </w:rPr>
            </w:pPr>
            <w:r w:rsidRPr="00981F52">
              <w:rPr>
                <w:rFonts w:cs="Arial"/>
                <w:szCs w:val="22"/>
                <w:lang w:eastAsia="en-GB"/>
              </w:rPr>
              <w:t xml:space="preserve">Act with autonomy, with </w:t>
            </w:r>
            <w:r>
              <w:rPr>
                <w:rFonts w:cs="Arial"/>
                <w:szCs w:val="22"/>
                <w:lang w:eastAsia="en-GB"/>
              </w:rPr>
              <w:t xml:space="preserve">minimum </w:t>
            </w:r>
            <w:r w:rsidRPr="00981F52">
              <w:rPr>
                <w:rFonts w:cs="Arial"/>
                <w:szCs w:val="22"/>
                <w:lang w:eastAsia="en-GB"/>
              </w:rPr>
              <w:t>supervision and direction, within defined guidelines;</w:t>
            </w:r>
          </w:p>
          <w:p w14:paraId="7CED1BD5" w14:textId="77777777" w:rsidR="00950935" w:rsidRPr="00E22D74" w:rsidRDefault="00950935" w:rsidP="00950935">
            <w:pPr>
              <w:widowControl/>
              <w:numPr>
                <w:ilvl w:val="0"/>
                <w:numId w:val="2"/>
              </w:numPr>
              <w:tabs>
                <w:tab w:val="clear" w:pos="438"/>
              </w:tabs>
              <w:autoSpaceDE w:val="0"/>
              <w:autoSpaceDN w:val="0"/>
              <w:adjustRightInd w:val="0"/>
              <w:ind w:left="300" w:hanging="300"/>
              <w:jc w:val="left"/>
              <w:rPr>
                <w:rFonts w:cs="Arial"/>
                <w:lang w:eastAsia="en-GB"/>
              </w:rPr>
            </w:pPr>
            <w:r w:rsidRPr="00981F52">
              <w:rPr>
                <w:rFonts w:cs="Arial"/>
                <w:szCs w:val="22"/>
                <w:lang w:eastAsia="en-GB"/>
              </w:rPr>
              <w:t>Be aware of the wider social and environmental implications of</w:t>
            </w:r>
            <w:r>
              <w:rPr>
                <w:rFonts w:cs="Arial"/>
                <w:szCs w:val="22"/>
                <w:lang w:eastAsia="en-GB"/>
              </w:rPr>
              <w:t xml:space="preserve"> the discipline(s)</w:t>
            </w:r>
            <w:r w:rsidRPr="00981F52">
              <w:rPr>
                <w:rFonts w:cs="Arial"/>
                <w:szCs w:val="22"/>
                <w:lang w:eastAsia="en-GB"/>
              </w:rPr>
              <w:t xml:space="preserve"> and debate issues in relation to mo</w:t>
            </w:r>
            <w:r>
              <w:rPr>
                <w:rFonts w:cs="Arial"/>
                <w:szCs w:val="22"/>
                <w:lang w:eastAsia="en-GB"/>
              </w:rPr>
              <w:t>re general ethical perspectives;</w:t>
            </w:r>
          </w:p>
          <w:p w14:paraId="2F51A467" w14:textId="77777777" w:rsidR="00950935" w:rsidRPr="0025104C" w:rsidRDefault="00950935" w:rsidP="00950935">
            <w:pPr>
              <w:widowControl/>
              <w:numPr>
                <w:ilvl w:val="0"/>
                <w:numId w:val="2"/>
              </w:numPr>
              <w:autoSpaceDE w:val="0"/>
              <w:autoSpaceDN w:val="0"/>
              <w:adjustRightInd w:val="0"/>
              <w:ind w:left="300" w:hanging="300"/>
              <w:jc w:val="left"/>
              <w:rPr>
                <w:rFonts w:cs="Arial"/>
                <w:lang w:eastAsia="en-GB"/>
              </w:rPr>
            </w:pPr>
            <w:r w:rsidRPr="00981F52">
              <w:rPr>
                <w:rFonts w:cs="Arial"/>
                <w:szCs w:val="22"/>
                <w:lang w:eastAsia="en-GB"/>
              </w:rPr>
              <w:t xml:space="preserve">Demonstrate awareness of </w:t>
            </w:r>
            <w:r>
              <w:rPr>
                <w:rFonts w:cs="Arial"/>
                <w:szCs w:val="22"/>
                <w:lang w:eastAsia="en-GB"/>
              </w:rPr>
              <w:t xml:space="preserve">academic integrity </w:t>
            </w:r>
            <w:r w:rsidRPr="00981F52">
              <w:rPr>
                <w:rFonts w:cs="Arial"/>
                <w:szCs w:val="22"/>
                <w:lang w:eastAsia="en-GB"/>
              </w:rPr>
              <w:t xml:space="preserve">in </w:t>
            </w:r>
            <w:r>
              <w:rPr>
                <w:rFonts w:cs="Arial"/>
                <w:szCs w:val="22"/>
                <w:lang w:eastAsia="en-GB"/>
              </w:rPr>
              <w:t>the discipline(s).</w:t>
            </w:r>
          </w:p>
        </w:tc>
      </w:tr>
      <w:tr w:rsidR="00950935" w:rsidRPr="00EC2357" w14:paraId="383EF478" w14:textId="77777777" w:rsidTr="00A43F89">
        <w:trPr>
          <w:jc w:val="center"/>
        </w:trPr>
        <w:tc>
          <w:tcPr>
            <w:tcW w:w="3528" w:type="dxa"/>
            <w:shd w:val="clear" w:color="auto" w:fill="auto"/>
          </w:tcPr>
          <w:p w14:paraId="70837D18" w14:textId="77777777" w:rsidR="00950935" w:rsidRPr="00EC2357" w:rsidRDefault="00950935" w:rsidP="00950935">
            <w:pPr>
              <w:widowControl/>
              <w:numPr>
                <w:ilvl w:val="0"/>
                <w:numId w:val="1"/>
              </w:numPr>
              <w:spacing w:before="60" w:after="60"/>
              <w:jc w:val="left"/>
              <w:rPr>
                <w:rFonts w:cs="Arial"/>
              </w:rPr>
            </w:pPr>
            <w:r w:rsidRPr="00EC2357">
              <w:rPr>
                <w:rFonts w:cs="Arial"/>
              </w:rPr>
              <w:t>Transferable/Key Skills:</w:t>
            </w:r>
          </w:p>
        </w:tc>
        <w:tc>
          <w:tcPr>
            <w:tcW w:w="5760" w:type="dxa"/>
            <w:shd w:val="clear" w:color="auto" w:fill="auto"/>
          </w:tcPr>
          <w:p w14:paraId="7F62F661" w14:textId="77777777" w:rsidR="00950935" w:rsidRPr="00981F52" w:rsidRDefault="00950935" w:rsidP="00950935">
            <w:pPr>
              <w:widowControl/>
              <w:numPr>
                <w:ilvl w:val="0"/>
                <w:numId w:val="5"/>
              </w:numPr>
              <w:autoSpaceDE w:val="0"/>
              <w:autoSpaceDN w:val="0"/>
              <w:adjustRightInd w:val="0"/>
              <w:jc w:val="left"/>
              <w:rPr>
                <w:rFonts w:cs="Arial"/>
                <w:lang w:eastAsia="en-GB"/>
              </w:rPr>
            </w:pPr>
            <w:r w:rsidRPr="00981F52">
              <w:rPr>
                <w:rFonts w:cs="Arial"/>
                <w:szCs w:val="22"/>
                <w:lang w:eastAsia="en-GB"/>
              </w:rPr>
              <w:t>Communicate effectively in a manner appropriate to the discipline(s) and report practical procedures in a clear and concise manner in a variety of formats;</w:t>
            </w:r>
          </w:p>
          <w:p w14:paraId="1292E067" w14:textId="77777777" w:rsidR="00950935" w:rsidRPr="00981F52" w:rsidRDefault="00950935" w:rsidP="00950935">
            <w:pPr>
              <w:widowControl/>
              <w:numPr>
                <w:ilvl w:val="0"/>
                <w:numId w:val="5"/>
              </w:numPr>
              <w:autoSpaceDE w:val="0"/>
              <w:autoSpaceDN w:val="0"/>
              <w:adjustRightInd w:val="0"/>
              <w:ind w:right="342"/>
              <w:jc w:val="left"/>
              <w:rPr>
                <w:rFonts w:cs="Arial"/>
                <w:lang w:eastAsia="en-GB"/>
              </w:rPr>
            </w:pPr>
            <w:r w:rsidRPr="00981F52">
              <w:rPr>
                <w:rFonts w:cs="Arial"/>
                <w:szCs w:val="22"/>
                <w:lang w:eastAsia="en-GB"/>
              </w:rPr>
              <w:t>Inter</w:t>
            </w:r>
            <w:r>
              <w:rPr>
                <w:rFonts w:cs="Arial"/>
                <w:szCs w:val="22"/>
                <w:lang w:eastAsia="en-GB"/>
              </w:rPr>
              <w:t>act effectively within a team/</w:t>
            </w:r>
            <w:r w:rsidRPr="00981F52">
              <w:rPr>
                <w:rFonts w:cs="Arial"/>
                <w:szCs w:val="22"/>
                <w:lang w:eastAsia="en-GB"/>
              </w:rPr>
              <w:t>learning group</w:t>
            </w:r>
            <w:r>
              <w:rPr>
                <w:rFonts w:cs="Arial"/>
                <w:szCs w:val="22"/>
                <w:lang w:eastAsia="en-GB"/>
              </w:rPr>
              <w:t xml:space="preserve"> (peers, tutors, mentors etc)</w:t>
            </w:r>
            <w:r w:rsidRPr="00981F52">
              <w:rPr>
                <w:rFonts w:cs="Arial"/>
                <w:szCs w:val="22"/>
                <w:lang w:eastAsia="en-GB"/>
              </w:rPr>
              <w:t>, giving and receiving information and ideas and modify</w:t>
            </w:r>
            <w:r>
              <w:rPr>
                <w:rFonts w:cs="Arial"/>
                <w:szCs w:val="22"/>
                <w:lang w:eastAsia="en-GB"/>
              </w:rPr>
              <w:t>ing responses where appropriate;</w:t>
            </w:r>
          </w:p>
          <w:p w14:paraId="27B777F5" w14:textId="77777777" w:rsidR="00950935" w:rsidRPr="008B191F" w:rsidRDefault="00950935" w:rsidP="00950935">
            <w:pPr>
              <w:widowControl/>
              <w:numPr>
                <w:ilvl w:val="0"/>
                <w:numId w:val="5"/>
              </w:numPr>
              <w:autoSpaceDE w:val="0"/>
              <w:autoSpaceDN w:val="0"/>
              <w:adjustRightInd w:val="0"/>
              <w:ind w:right="342"/>
              <w:jc w:val="left"/>
              <w:rPr>
                <w:rFonts w:cs="Arial"/>
                <w:lang w:eastAsia="en-GB"/>
              </w:rPr>
            </w:pPr>
            <w:r w:rsidRPr="00981F52">
              <w:rPr>
                <w:rFonts w:cs="Arial"/>
                <w:szCs w:val="22"/>
                <w:lang w:eastAsia="en-GB"/>
              </w:rPr>
              <w:t>Evaluate own strengths and weakness, challenge received opinion and develop own criteria and judgement;</w:t>
            </w:r>
          </w:p>
          <w:p w14:paraId="4481AFBF" w14:textId="77777777" w:rsidR="00950935" w:rsidRPr="00981F52" w:rsidRDefault="00950935" w:rsidP="00950935">
            <w:pPr>
              <w:widowControl/>
              <w:numPr>
                <w:ilvl w:val="0"/>
                <w:numId w:val="5"/>
              </w:numPr>
              <w:autoSpaceDE w:val="0"/>
              <w:autoSpaceDN w:val="0"/>
              <w:adjustRightInd w:val="0"/>
              <w:ind w:right="342"/>
              <w:jc w:val="left"/>
              <w:rPr>
                <w:rFonts w:cs="Arial"/>
                <w:lang w:eastAsia="en-GB"/>
              </w:rPr>
            </w:pPr>
            <w:r w:rsidRPr="00981F52">
              <w:rPr>
                <w:rFonts w:cs="Arial"/>
                <w:szCs w:val="22"/>
                <w:lang w:eastAsia="en-GB"/>
              </w:rPr>
              <w:t>Take responsibility for own learning with minimum direction;</w:t>
            </w:r>
          </w:p>
          <w:p w14:paraId="3E3FFFA3" w14:textId="77777777" w:rsidR="00950935" w:rsidRPr="0025104C" w:rsidRDefault="00950935" w:rsidP="00950935">
            <w:pPr>
              <w:widowControl/>
              <w:numPr>
                <w:ilvl w:val="0"/>
                <w:numId w:val="5"/>
              </w:numPr>
              <w:autoSpaceDE w:val="0"/>
              <w:autoSpaceDN w:val="0"/>
              <w:adjustRightInd w:val="0"/>
              <w:ind w:right="-166"/>
              <w:jc w:val="left"/>
              <w:rPr>
                <w:rFonts w:cs="Arial"/>
                <w:lang w:eastAsia="en-GB"/>
              </w:rPr>
            </w:pPr>
            <w:r w:rsidRPr="00981F52">
              <w:rPr>
                <w:rFonts w:cs="Arial"/>
                <w:szCs w:val="22"/>
                <w:lang w:eastAsia="en-GB"/>
              </w:rPr>
              <w:t xml:space="preserve">Manage </w:t>
            </w:r>
            <w:r>
              <w:rPr>
                <w:rFonts w:cs="Arial"/>
                <w:szCs w:val="22"/>
                <w:lang w:eastAsia="en-GB"/>
              </w:rPr>
              <w:t>research tasks using resources appropriately.</w:t>
            </w:r>
          </w:p>
        </w:tc>
      </w:tr>
      <w:tr w:rsidR="00950935" w:rsidRPr="00EC2357" w14:paraId="38B426AB" w14:textId="77777777" w:rsidTr="00A43F89">
        <w:trPr>
          <w:jc w:val="center"/>
        </w:trPr>
        <w:tc>
          <w:tcPr>
            <w:tcW w:w="9288" w:type="dxa"/>
            <w:gridSpan w:val="2"/>
            <w:tcBorders>
              <w:bottom w:val="dashed" w:sz="4" w:space="0" w:color="auto"/>
            </w:tcBorders>
            <w:shd w:val="clear" w:color="auto" w:fill="auto"/>
          </w:tcPr>
          <w:p w14:paraId="62357AC8" w14:textId="77777777" w:rsidR="00950935" w:rsidRPr="00EC2357" w:rsidRDefault="00950935" w:rsidP="000E23F9">
            <w:pPr>
              <w:spacing w:before="120" w:after="60"/>
              <w:rPr>
                <w:rFonts w:cs="Arial"/>
                <w:i/>
                <w:sz w:val="18"/>
                <w:szCs w:val="18"/>
              </w:rPr>
            </w:pPr>
            <w:r w:rsidRPr="00EC2357">
              <w:rPr>
                <w:rFonts w:cs="Arial"/>
                <w:b/>
              </w:rPr>
              <w:lastRenderedPageBreak/>
              <w:t xml:space="preserve">Structure and content of the </w:t>
            </w:r>
            <w:r>
              <w:rPr>
                <w:rFonts w:cs="Arial"/>
                <w:b/>
              </w:rPr>
              <w:t>exit award</w:t>
            </w:r>
          </w:p>
        </w:tc>
      </w:tr>
      <w:tr w:rsidR="00950935" w:rsidRPr="00EC2357" w14:paraId="1687401D" w14:textId="77777777" w:rsidTr="00A43F89">
        <w:trPr>
          <w:jc w:val="center"/>
        </w:trPr>
        <w:tc>
          <w:tcPr>
            <w:tcW w:w="9288" w:type="dxa"/>
            <w:gridSpan w:val="2"/>
            <w:tcBorders>
              <w:top w:val="dashed" w:sz="4" w:space="0" w:color="auto"/>
            </w:tcBorders>
            <w:shd w:val="clear" w:color="auto" w:fill="auto"/>
          </w:tcPr>
          <w:p w14:paraId="723C4A0E" w14:textId="77777777" w:rsidR="00950935" w:rsidRPr="00624BFD" w:rsidRDefault="00950935" w:rsidP="000E23F9">
            <w:pPr>
              <w:spacing w:before="60" w:after="120"/>
              <w:rPr>
                <w:rFonts w:cs="Arial"/>
              </w:rPr>
            </w:pPr>
            <w:r w:rsidRPr="00624BFD">
              <w:rPr>
                <w:rFonts w:cs="Arial"/>
              </w:rPr>
              <w:t xml:space="preserve">The Diploma of Higher Education is awarded if a student has passed </w:t>
            </w:r>
            <w:r>
              <w:rPr>
                <w:rFonts w:cs="Arial"/>
              </w:rPr>
              <w:t>120 credits</w:t>
            </w:r>
            <w:r w:rsidRPr="00624BFD">
              <w:rPr>
                <w:rFonts w:cs="Arial"/>
              </w:rPr>
              <w:t>,</w:t>
            </w:r>
            <w:r>
              <w:rPr>
                <w:rFonts w:cs="Arial"/>
              </w:rPr>
              <w:t xml:space="preserve"> </w:t>
            </w:r>
            <w:r w:rsidRPr="00624BFD">
              <w:rPr>
                <w:rFonts w:cs="Arial"/>
              </w:rPr>
              <w:t>60 credits at a minimum of FHEQ Level 4 and at least 48 credits at a minimum of FHEQ Level 5. The units will be credit-bearing units at the appropriate level or above approved by the University of Bath  taken either as part of the student’s degree programme or as extra-curricular credit-bearing units.</w:t>
            </w:r>
            <w:r>
              <w:rPr>
                <w:rFonts w:cs="Arial"/>
              </w:rPr>
              <w:t xml:space="preserve"> Credit achieved through a placement or study abroad cannot contribute to the award of Diploma of Higher Education, unless explicitly stated otherwise in the relevant Programme Regulations.</w:t>
            </w:r>
          </w:p>
          <w:p w14:paraId="0DF1F66C" w14:textId="77777777" w:rsidR="00950935" w:rsidRPr="00EC2357" w:rsidRDefault="00950935" w:rsidP="000E23F9">
            <w:pPr>
              <w:spacing w:before="60" w:after="60"/>
              <w:rPr>
                <w:rFonts w:cs="Arial"/>
                <w:szCs w:val="22"/>
              </w:rPr>
            </w:pPr>
            <w:r w:rsidRPr="00624BFD">
              <w:rPr>
                <w:rFonts w:cs="Arial"/>
              </w:rPr>
              <w:t>The content, teaching and learning methods and assessment for each unit will be delivered as articulated in each relevant unit description.  Typically though the teaching and learning methods will be a combination of formal lectures by a lecturer supplemented by seminars, tutorials, lab sessions and independent learning activities.</w:t>
            </w:r>
          </w:p>
        </w:tc>
      </w:tr>
    </w:tbl>
    <w:p w14:paraId="5DB358D2" w14:textId="77777777" w:rsidR="00950935" w:rsidRPr="00DC4DBC" w:rsidRDefault="00950935" w:rsidP="00950935">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50935" w:rsidRPr="00EC2357" w14:paraId="34FF2D89" w14:textId="77777777" w:rsidTr="000E23F9">
        <w:trPr>
          <w:jc w:val="center"/>
        </w:trPr>
        <w:tc>
          <w:tcPr>
            <w:tcW w:w="9288" w:type="dxa"/>
            <w:tcBorders>
              <w:bottom w:val="dashed" w:sz="4" w:space="0" w:color="auto"/>
            </w:tcBorders>
            <w:shd w:val="clear" w:color="auto" w:fill="auto"/>
          </w:tcPr>
          <w:p w14:paraId="44636AA6" w14:textId="77777777" w:rsidR="00950935" w:rsidRPr="00EC2357" w:rsidRDefault="00950935" w:rsidP="000E23F9">
            <w:pPr>
              <w:spacing w:before="120" w:after="60"/>
              <w:rPr>
                <w:rFonts w:cs="Arial"/>
                <w:b/>
              </w:rPr>
            </w:pPr>
            <w:r w:rsidRPr="00EC2357">
              <w:rPr>
                <w:rFonts w:cs="Arial"/>
                <w:b/>
              </w:rPr>
              <w:t>Details of work placements / work-based learning / industrial training / study abroad requirements</w:t>
            </w:r>
          </w:p>
        </w:tc>
      </w:tr>
      <w:tr w:rsidR="00950935" w:rsidRPr="00EC2357" w14:paraId="7A9A6E3E" w14:textId="77777777" w:rsidTr="000E23F9">
        <w:trPr>
          <w:jc w:val="center"/>
        </w:trPr>
        <w:tc>
          <w:tcPr>
            <w:tcW w:w="9288" w:type="dxa"/>
            <w:tcBorders>
              <w:top w:val="dashed" w:sz="4" w:space="0" w:color="auto"/>
            </w:tcBorders>
            <w:shd w:val="clear" w:color="auto" w:fill="auto"/>
          </w:tcPr>
          <w:p w14:paraId="3C82A255" w14:textId="77777777" w:rsidR="00950935" w:rsidRPr="00DD604B" w:rsidRDefault="00950935" w:rsidP="000E23F9">
            <w:pPr>
              <w:spacing w:before="60" w:after="60"/>
              <w:rPr>
                <w:rFonts w:cs="Arial"/>
              </w:rPr>
            </w:pPr>
            <w:r w:rsidRPr="00624BFD">
              <w:rPr>
                <w:rFonts w:cs="Arial"/>
              </w:rPr>
              <w:t>Not applicable</w:t>
            </w:r>
            <w:r>
              <w:rPr>
                <w:rFonts w:cs="Arial"/>
              </w:rPr>
              <w:t xml:space="preserve">.  Credit achieved through a placement or study abroad cannot contribute to the award of Diploma of Higher Education, unless explicitly stated otherwise in the relevant Programme Regulations. </w:t>
            </w:r>
          </w:p>
        </w:tc>
      </w:tr>
      <w:tr w:rsidR="00950935" w:rsidRPr="00EC2357" w14:paraId="18833F07" w14:textId="77777777" w:rsidTr="000E23F9">
        <w:trPr>
          <w:jc w:val="center"/>
        </w:trPr>
        <w:tc>
          <w:tcPr>
            <w:tcW w:w="9288" w:type="dxa"/>
            <w:tcBorders>
              <w:bottom w:val="dashed" w:sz="4" w:space="0" w:color="auto"/>
            </w:tcBorders>
            <w:shd w:val="clear" w:color="auto" w:fill="auto"/>
          </w:tcPr>
          <w:p w14:paraId="118438C9" w14:textId="77777777" w:rsidR="00950935" w:rsidRPr="00EC2357" w:rsidRDefault="00950935" w:rsidP="000E23F9">
            <w:pPr>
              <w:spacing w:before="120" w:after="60"/>
              <w:rPr>
                <w:rFonts w:cs="Arial"/>
              </w:rPr>
            </w:pPr>
            <w:r w:rsidRPr="00EC2357">
              <w:rPr>
                <w:rFonts w:cs="Arial"/>
                <w:b/>
              </w:rPr>
              <w:t xml:space="preserve">Details of support available to students </w:t>
            </w:r>
            <w:r w:rsidRPr="00EC2357">
              <w:rPr>
                <w:rFonts w:cs="Arial"/>
              </w:rPr>
              <w:t>(e.g. induction programmes, programme information, resources)</w:t>
            </w:r>
          </w:p>
        </w:tc>
      </w:tr>
      <w:tr w:rsidR="00950935" w:rsidRPr="00EC2357" w14:paraId="224F03A2" w14:textId="77777777" w:rsidTr="000E23F9">
        <w:trPr>
          <w:jc w:val="center"/>
        </w:trPr>
        <w:tc>
          <w:tcPr>
            <w:tcW w:w="9288" w:type="dxa"/>
            <w:tcBorders>
              <w:top w:val="dashed" w:sz="4" w:space="0" w:color="auto"/>
            </w:tcBorders>
            <w:shd w:val="clear" w:color="auto" w:fill="auto"/>
          </w:tcPr>
          <w:p w14:paraId="7E15B85F" w14:textId="77777777" w:rsidR="00950935" w:rsidRPr="00EC2357" w:rsidRDefault="00950935" w:rsidP="000E23F9">
            <w:pPr>
              <w:spacing w:before="60" w:after="60"/>
              <w:rPr>
                <w:rFonts w:cs="Arial"/>
              </w:rPr>
            </w:pPr>
            <w:r>
              <w:rPr>
                <w:rFonts w:cs="Arial"/>
              </w:rPr>
              <w:t>Not applicable for exit award. Details of support provided to students will be described in the programme specification of their original programme.</w:t>
            </w:r>
          </w:p>
        </w:tc>
      </w:tr>
      <w:tr w:rsidR="00950935" w:rsidRPr="00EC2357" w14:paraId="790C7C5B" w14:textId="77777777" w:rsidTr="000E23F9">
        <w:trPr>
          <w:jc w:val="center"/>
        </w:trPr>
        <w:tc>
          <w:tcPr>
            <w:tcW w:w="9288" w:type="dxa"/>
            <w:tcBorders>
              <w:bottom w:val="dashed" w:sz="4" w:space="0" w:color="auto"/>
            </w:tcBorders>
            <w:shd w:val="clear" w:color="auto" w:fill="auto"/>
          </w:tcPr>
          <w:p w14:paraId="4C4B1FB7" w14:textId="77777777" w:rsidR="00950935" w:rsidRPr="003D7A62" w:rsidRDefault="00950935" w:rsidP="000E23F9">
            <w:pPr>
              <w:spacing w:before="120" w:after="60"/>
              <w:rPr>
                <w:rFonts w:cs="Arial"/>
              </w:rPr>
            </w:pPr>
            <w:r w:rsidRPr="003D7A62">
              <w:rPr>
                <w:rFonts w:cs="Arial"/>
                <w:b/>
              </w:rPr>
              <w:t xml:space="preserve">Admissions criteria </w:t>
            </w:r>
            <w:r w:rsidRPr="003D7A62">
              <w:rPr>
                <w:rFonts w:cs="Arial"/>
              </w:rPr>
              <w:t>(including arrangements for APL/APEL)</w:t>
            </w:r>
          </w:p>
        </w:tc>
      </w:tr>
      <w:tr w:rsidR="00950935" w:rsidRPr="00EC2357" w14:paraId="4ABAA712" w14:textId="77777777" w:rsidTr="000E23F9">
        <w:trPr>
          <w:jc w:val="center"/>
        </w:trPr>
        <w:tc>
          <w:tcPr>
            <w:tcW w:w="9288" w:type="dxa"/>
            <w:tcBorders>
              <w:top w:val="dashed" w:sz="4" w:space="0" w:color="auto"/>
            </w:tcBorders>
            <w:shd w:val="clear" w:color="auto" w:fill="auto"/>
          </w:tcPr>
          <w:p w14:paraId="6F0B96D5" w14:textId="77777777" w:rsidR="00950935" w:rsidRDefault="00950935" w:rsidP="000E23F9">
            <w:pPr>
              <w:spacing w:before="60" w:after="60"/>
              <w:rPr>
                <w:rFonts w:cs="Arial"/>
              </w:rPr>
            </w:pPr>
            <w:r>
              <w:rPr>
                <w:rFonts w:cs="Arial"/>
              </w:rPr>
              <w:t xml:space="preserve">Admissions criteria: Not applicable for exit award. </w:t>
            </w:r>
          </w:p>
          <w:p w14:paraId="2AA65940" w14:textId="77777777" w:rsidR="00950935" w:rsidRPr="003D7A62" w:rsidRDefault="00950935" w:rsidP="000E23F9">
            <w:pPr>
              <w:spacing w:before="60" w:after="60"/>
              <w:rPr>
                <w:rFonts w:cs="Arial"/>
              </w:rPr>
            </w:pPr>
            <w:r>
              <w:rPr>
                <w:rFonts w:cs="Arial"/>
              </w:rPr>
              <w:t>Normal University of Bath APL guidelines will apply to this award.</w:t>
            </w:r>
          </w:p>
        </w:tc>
      </w:tr>
      <w:tr w:rsidR="00950935" w:rsidRPr="00EC2357" w14:paraId="4F02D133" w14:textId="77777777" w:rsidTr="000E23F9">
        <w:trPr>
          <w:jc w:val="center"/>
        </w:trPr>
        <w:tc>
          <w:tcPr>
            <w:tcW w:w="9288" w:type="dxa"/>
            <w:tcBorders>
              <w:bottom w:val="dashed" w:sz="4" w:space="0" w:color="auto"/>
            </w:tcBorders>
            <w:shd w:val="clear" w:color="auto" w:fill="auto"/>
          </w:tcPr>
          <w:p w14:paraId="75A82791" w14:textId="77777777" w:rsidR="00950935" w:rsidRPr="00EC2357" w:rsidRDefault="00950935" w:rsidP="000E23F9">
            <w:pPr>
              <w:spacing w:before="120" w:after="60"/>
              <w:rPr>
                <w:rFonts w:cs="Arial"/>
                <w:b/>
              </w:rPr>
            </w:pPr>
            <w:r w:rsidRPr="00EC2357">
              <w:rPr>
                <w:rFonts w:cs="Arial"/>
                <w:b/>
              </w:rPr>
              <w:t>Summary of assessment and progression regulations</w:t>
            </w:r>
          </w:p>
        </w:tc>
      </w:tr>
      <w:tr w:rsidR="00950935" w:rsidRPr="00EC2357" w14:paraId="6EB3A0BF" w14:textId="77777777" w:rsidTr="000E23F9">
        <w:trPr>
          <w:jc w:val="center"/>
        </w:trPr>
        <w:tc>
          <w:tcPr>
            <w:tcW w:w="9288" w:type="dxa"/>
            <w:tcBorders>
              <w:top w:val="dashed" w:sz="4" w:space="0" w:color="auto"/>
            </w:tcBorders>
            <w:shd w:val="clear" w:color="auto" w:fill="auto"/>
          </w:tcPr>
          <w:p w14:paraId="3A205E2E" w14:textId="77777777" w:rsidR="00950935" w:rsidRDefault="00950935" w:rsidP="000E23F9">
            <w:pPr>
              <w:spacing w:before="60" w:after="60"/>
              <w:rPr>
                <w:rFonts w:cs="Arial"/>
              </w:rPr>
            </w:pPr>
            <w:r>
              <w:rPr>
                <w:rFonts w:cs="Arial"/>
              </w:rPr>
              <w:t xml:space="preserve">Students will be eligible for this award if they have passed at least 120 credits (at least 60 at FHEQ level 4 and at least 48 at FHEQ level 5).  Assessment regulations contain further detail.  </w:t>
            </w:r>
          </w:p>
          <w:p w14:paraId="06C9DD96" w14:textId="77777777" w:rsidR="00950935" w:rsidRDefault="00950935" w:rsidP="000E23F9">
            <w:pPr>
              <w:spacing w:before="60" w:after="60"/>
              <w:rPr>
                <w:rFonts w:cs="Arial"/>
              </w:rPr>
            </w:pPr>
            <w:r>
              <w:rPr>
                <w:rFonts w:cs="Arial"/>
              </w:rPr>
              <w:t>Credit achieved through a placement or study abroad cannot contribute to the award of Diploma of Higher Education, unless explicitly stated otherwise in the relevant Programme Regulations.</w:t>
            </w:r>
          </w:p>
          <w:p w14:paraId="094672ED" w14:textId="77777777" w:rsidR="00950935" w:rsidRPr="00EC2357" w:rsidRDefault="00950935" w:rsidP="000E23F9">
            <w:pPr>
              <w:spacing w:before="60" w:after="60"/>
              <w:rPr>
                <w:rFonts w:cs="Arial"/>
              </w:rPr>
            </w:pPr>
            <w:r w:rsidRPr="00E25C45">
              <w:rPr>
                <w:rFonts w:cs="Arial"/>
                <w:szCs w:val="22"/>
              </w:rPr>
              <w:t>The DiplHE may also be granted as an aegrotat award in line with the provisions of Ordinances 14.8 and 14.9, where the student is deemed to have passed a substantial proportion of their programme's requirements at FHEQ Level 4 and a substantial portion of their programme’s requirements at FHEQ level 5.</w:t>
            </w:r>
          </w:p>
        </w:tc>
      </w:tr>
      <w:tr w:rsidR="00950935" w:rsidRPr="00EC2357" w14:paraId="0DCE6393" w14:textId="77777777" w:rsidTr="000E23F9">
        <w:trPr>
          <w:jc w:val="center"/>
        </w:trPr>
        <w:tc>
          <w:tcPr>
            <w:tcW w:w="9288" w:type="dxa"/>
            <w:tcBorders>
              <w:bottom w:val="dashed" w:sz="4" w:space="0" w:color="auto"/>
            </w:tcBorders>
            <w:shd w:val="clear" w:color="auto" w:fill="auto"/>
          </w:tcPr>
          <w:p w14:paraId="7C2AB77E" w14:textId="77777777" w:rsidR="00950935" w:rsidRPr="00EC2357" w:rsidRDefault="00950935" w:rsidP="000E23F9">
            <w:pPr>
              <w:spacing w:before="120" w:after="60"/>
              <w:rPr>
                <w:rFonts w:cs="Arial"/>
                <w:b/>
              </w:rPr>
            </w:pPr>
            <w:r w:rsidRPr="00EC2357">
              <w:rPr>
                <w:rFonts w:cs="Arial"/>
                <w:b/>
              </w:rPr>
              <w:t xml:space="preserve">Indicators of quality and standards </w:t>
            </w:r>
            <w:r w:rsidRPr="00EC2357">
              <w:rPr>
                <w:rFonts w:cs="Arial"/>
              </w:rPr>
              <w:t>(e.g. professional accreditation)</w:t>
            </w:r>
          </w:p>
        </w:tc>
      </w:tr>
      <w:tr w:rsidR="00950935" w:rsidRPr="00EC2357" w14:paraId="35CE27C9" w14:textId="77777777" w:rsidTr="000E23F9">
        <w:trPr>
          <w:jc w:val="center"/>
        </w:trPr>
        <w:tc>
          <w:tcPr>
            <w:tcW w:w="9288" w:type="dxa"/>
            <w:tcBorders>
              <w:top w:val="dashed" w:sz="4" w:space="0" w:color="auto"/>
            </w:tcBorders>
            <w:shd w:val="clear" w:color="auto" w:fill="auto"/>
          </w:tcPr>
          <w:p w14:paraId="41CEA930" w14:textId="77777777" w:rsidR="00950935" w:rsidRPr="00F13927" w:rsidRDefault="00950935" w:rsidP="000E23F9">
            <w:pPr>
              <w:rPr>
                <w:rFonts w:cs="Arial"/>
                <w:i/>
                <w:color w:val="000000"/>
                <w:sz w:val="18"/>
                <w:szCs w:val="18"/>
              </w:rPr>
            </w:pPr>
            <w:r w:rsidRPr="00F13927">
              <w:rPr>
                <w:rFonts w:cs="Arial"/>
                <w:i/>
                <w:color w:val="000000"/>
                <w:sz w:val="18"/>
                <w:szCs w:val="18"/>
              </w:rPr>
              <w:t>(For more general  information on each part of the framework, click on the link)</w:t>
            </w:r>
          </w:p>
          <w:p w14:paraId="303D656A" w14:textId="77777777" w:rsidR="00950935" w:rsidRPr="00493916" w:rsidRDefault="00950935" w:rsidP="000E23F9">
            <w:pPr>
              <w:rPr>
                <w:rFonts w:cs="Arial"/>
                <w:color w:val="000000"/>
                <w:sz w:val="16"/>
                <w:szCs w:val="16"/>
              </w:rPr>
            </w:pPr>
          </w:p>
          <w:p w14:paraId="3E685838" w14:textId="77777777" w:rsidR="00950935" w:rsidRPr="00493916" w:rsidRDefault="00950935" w:rsidP="000E23F9">
            <w:pPr>
              <w:rPr>
                <w:rFonts w:cs="Arial"/>
                <w:color w:val="000000"/>
                <w:szCs w:val="22"/>
              </w:rPr>
            </w:pPr>
            <w:r w:rsidRPr="00493916">
              <w:rPr>
                <w:rFonts w:cs="Arial"/>
                <w:color w:val="000000"/>
                <w:szCs w:val="22"/>
              </w:rPr>
              <w:t>To assure continuing excellence in its quality and standards, the University of Bath has a quality management framework including:</w:t>
            </w:r>
          </w:p>
          <w:p w14:paraId="440D2579" w14:textId="77777777" w:rsidR="00950935" w:rsidRPr="00493916" w:rsidRDefault="00950935" w:rsidP="000E23F9">
            <w:pPr>
              <w:rPr>
                <w:rFonts w:cs="Arial"/>
                <w:b/>
                <w:i/>
                <w:color w:val="000000"/>
                <w:sz w:val="16"/>
                <w:szCs w:val="16"/>
              </w:rPr>
            </w:pPr>
          </w:p>
          <w:p w14:paraId="47637796" w14:textId="77777777" w:rsidR="00950935" w:rsidRPr="00493916" w:rsidRDefault="00950935" w:rsidP="000E23F9">
            <w:pPr>
              <w:tabs>
                <w:tab w:val="left" w:pos="421"/>
              </w:tabs>
              <w:ind w:left="421" w:hanging="425"/>
              <w:rPr>
                <w:rFonts w:cs="Arial"/>
                <w:color w:val="000000"/>
                <w:szCs w:val="22"/>
              </w:rPr>
            </w:pPr>
            <w:r w:rsidRPr="00493916">
              <w:rPr>
                <w:rFonts w:cs="Arial"/>
                <w:color w:val="000000"/>
                <w:szCs w:val="22"/>
              </w:rPr>
              <w:t>1.</w:t>
            </w:r>
            <w:r>
              <w:rPr>
                <w:rFonts w:cs="Arial"/>
                <w:color w:val="000000"/>
                <w:szCs w:val="22"/>
              </w:rPr>
              <w:tab/>
            </w:r>
            <w:r w:rsidRPr="00493916">
              <w:rPr>
                <w:rFonts w:cs="Arial"/>
                <w:color w:val="000000"/>
                <w:szCs w:val="22"/>
              </w:rPr>
              <w:t xml:space="preserve">A </w:t>
            </w:r>
            <w:hyperlink r:id="rId10" w:history="1">
              <w:r>
                <w:rPr>
                  <w:rStyle w:val="Hyperlink"/>
                  <w:rFonts w:eastAsiaTheme="majorEastAsia" w:cs="Arial"/>
                  <w:szCs w:val="22"/>
                </w:rPr>
                <w:t>Quality Assurance Code of Practice</w:t>
              </w:r>
            </w:hyperlink>
            <w:r w:rsidRPr="00493916">
              <w:rPr>
                <w:rFonts w:cs="Arial"/>
                <w:color w:val="000000"/>
                <w:szCs w:val="22"/>
              </w:rPr>
              <w:t xml:space="preserve"> and asso</w:t>
            </w:r>
            <w:r>
              <w:rPr>
                <w:rFonts w:cs="Arial"/>
                <w:color w:val="000000"/>
                <w:szCs w:val="22"/>
              </w:rPr>
              <w:t>ciated regulations and policies</w:t>
            </w:r>
          </w:p>
          <w:p w14:paraId="4DEF8D28" w14:textId="77777777" w:rsidR="00950935" w:rsidRPr="00493916" w:rsidRDefault="00950935" w:rsidP="000E23F9">
            <w:pPr>
              <w:tabs>
                <w:tab w:val="left" w:pos="421"/>
              </w:tabs>
              <w:ind w:left="421" w:hanging="425"/>
              <w:rPr>
                <w:rFonts w:cs="Arial"/>
                <w:color w:val="000000"/>
                <w:szCs w:val="22"/>
              </w:rPr>
            </w:pPr>
          </w:p>
          <w:p w14:paraId="7A07254C" w14:textId="77777777" w:rsidR="00950935" w:rsidRPr="00493916" w:rsidRDefault="00950935" w:rsidP="000E23F9">
            <w:pPr>
              <w:tabs>
                <w:tab w:val="left" w:pos="421"/>
              </w:tabs>
              <w:ind w:left="421" w:hanging="425"/>
              <w:rPr>
                <w:rFonts w:cs="Arial"/>
                <w:color w:val="000000"/>
                <w:szCs w:val="22"/>
              </w:rPr>
            </w:pPr>
            <w:r w:rsidRPr="00493916">
              <w:rPr>
                <w:rFonts w:cs="Arial"/>
                <w:color w:val="000000"/>
                <w:szCs w:val="22"/>
              </w:rPr>
              <w:t>2.</w:t>
            </w:r>
            <w:r>
              <w:rPr>
                <w:rFonts w:cs="Arial"/>
                <w:color w:val="000000"/>
                <w:szCs w:val="22"/>
              </w:rPr>
              <w:tab/>
            </w:r>
            <w:r w:rsidRPr="00493916">
              <w:rPr>
                <w:rFonts w:cs="Arial"/>
                <w:color w:val="000000"/>
                <w:szCs w:val="22"/>
              </w:rPr>
              <w:t xml:space="preserve">A learning, teaching and quality committee structure which monitors quality and standards and instigates action for enhancement. For further information: </w:t>
            </w:r>
          </w:p>
          <w:p w14:paraId="7F2ED8C8" w14:textId="77777777" w:rsidR="00950935" w:rsidRPr="00493916" w:rsidRDefault="00950935" w:rsidP="000E23F9">
            <w:pPr>
              <w:tabs>
                <w:tab w:val="left" w:pos="421"/>
              </w:tabs>
              <w:ind w:left="421" w:hanging="425"/>
              <w:rPr>
                <w:rFonts w:cs="Arial"/>
                <w:color w:val="000000"/>
                <w:szCs w:val="22"/>
              </w:rPr>
            </w:pPr>
            <w:r w:rsidRPr="00C179A1">
              <w:rPr>
                <w:rFonts w:cs="Arial"/>
                <w:color w:val="0000FF"/>
                <w:szCs w:val="22"/>
              </w:rPr>
              <w:tab/>
            </w:r>
            <w:hyperlink r:id="rId11" w:history="1">
              <w:r>
                <w:rPr>
                  <w:rStyle w:val="Hyperlink"/>
                  <w:rFonts w:eastAsiaTheme="majorEastAsia" w:cs="Arial"/>
                  <w:szCs w:val="22"/>
                </w:rPr>
                <w:t>Governance</w:t>
              </w:r>
            </w:hyperlink>
          </w:p>
          <w:p w14:paraId="433F5A61" w14:textId="77777777" w:rsidR="00950935" w:rsidRPr="00493916" w:rsidRDefault="00950935" w:rsidP="000E23F9">
            <w:pPr>
              <w:tabs>
                <w:tab w:val="left" w:pos="421"/>
              </w:tabs>
              <w:ind w:left="421" w:hanging="425"/>
              <w:rPr>
                <w:rFonts w:cs="Arial"/>
                <w:color w:val="000000"/>
                <w:szCs w:val="22"/>
              </w:rPr>
            </w:pPr>
            <w:r w:rsidRPr="00493916">
              <w:rPr>
                <w:rFonts w:cs="Arial"/>
                <w:color w:val="000000"/>
                <w:szCs w:val="22"/>
              </w:rPr>
              <w:tab/>
            </w:r>
            <w:hyperlink r:id="rId12" w:history="1">
              <w:r>
                <w:rPr>
                  <w:rStyle w:val="Hyperlink"/>
                  <w:rFonts w:eastAsiaTheme="majorEastAsia" w:cs="Arial"/>
                  <w:szCs w:val="22"/>
                </w:rPr>
                <w:t>Review and Monitoring</w:t>
              </w:r>
            </w:hyperlink>
          </w:p>
          <w:p w14:paraId="707B2077" w14:textId="77777777" w:rsidR="00950935" w:rsidRPr="00493916" w:rsidRDefault="00950935" w:rsidP="000E23F9">
            <w:pPr>
              <w:tabs>
                <w:tab w:val="left" w:pos="421"/>
              </w:tabs>
              <w:ind w:left="421" w:hanging="425"/>
              <w:rPr>
                <w:rFonts w:cs="Arial"/>
                <w:color w:val="000000"/>
                <w:szCs w:val="22"/>
              </w:rPr>
            </w:pPr>
          </w:p>
          <w:p w14:paraId="3E995E48" w14:textId="77777777" w:rsidR="00950935" w:rsidRPr="00493916" w:rsidRDefault="00950935" w:rsidP="000E23F9">
            <w:pPr>
              <w:tabs>
                <w:tab w:val="left" w:pos="421"/>
              </w:tabs>
              <w:ind w:left="421" w:hanging="425"/>
              <w:rPr>
                <w:rFonts w:cs="Arial"/>
                <w:color w:val="000000"/>
                <w:szCs w:val="22"/>
              </w:rPr>
            </w:pPr>
            <w:r w:rsidRPr="00493916">
              <w:rPr>
                <w:rFonts w:cs="Arial"/>
                <w:color w:val="000000"/>
                <w:szCs w:val="22"/>
              </w:rPr>
              <w:t>3.</w:t>
            </w:r>
            <w:r w:rsidRPr="00493916">
              <w:rPr>
                <w:rFonts w:cs="Arial"/>
                <w:color w:val="000000"/>
                <w:szCs w:val="22"/>
              </w:rPr>
              <w:tab/>
            </w:r>
            <w:hyperlink r:id="rId13" w:history="1">
              <w:r>
                <w:rPr>
                  <w:rStyle w:val="Hyperlink"/>
                  <w:rFonts w:eastAsiaTheme="majorEastAsia" w:cs="Arial"/>
                  <w:szCs w:val="22"/>
                </w:rPr>
                <w:t>Staff development arrangements</w:t>
              </w:r>
            </w:hyperlink>
            <w:r w:rsidRPr="00493916">
              <w:rPr>
                <w:rFonts w:cs="Arial"/>
                <w:color w:val="000000"/>
                <w:szCs w:val="22"/>
              </w:rPr>
              <w:t xml:space="preserve"> that assist staff in enhancing their own performance as educators, as researchers or as professional support services staff. Further information:</w:t>
            </w:r>
          </w:p>
          <w:p w14:paraId="1CC2BD1C" w14:textId="77777777" w:rsidR="00950935" w:rsidRPr="00493916" w:rsidRDefault="00950935" w:rsidP="000E23F9">
            <w:pPr>
              <w:tabs>
                <w:tab w:val="left" w:pos="421"/>
              </w:tabs>
              <w:ind w:left="421" w:hanging="425"/>
              <w:rPr>
                <w:rFonts w:cs="Arial"/>
                <w:color w:val="000000"/>
                <w:szCs w:val="22"/>
              </w:rPr>
            </w:pPr>
            <w:r w:rsidRPr="00493916">
              <w:rPr>
                <w:rFonts w:cs="Arial"/>
                <w:color w:val="000000"/>
                <w:szCs w:val="22"/>
              </w:rPr>
              <w:tab/>
            </w:r>
          </w:p>
          <w:p w14:paraId="75DDA38D" w14:textId="77777777" w:rsidR="00950935" w:rsidRPr="00493916" w:rsidRDefault="00950935" w:rsidP="000E23F9">
            <w:pPr>
              <w:tabs>
                <w:tab w:val="left" w:pos="421"/>
              </w:tabs>
              <w:ind w:left="421" w:hanging="425"/>
              <w:rPr>
                <w:rFonts w:cs="Arial"/>
                <w:color w:val="000000"/>
                <w:szCs w:val="22"/>
              </w:rPr>
            </w:pPr>
            <w:r>
              <w:rPr>
                <w:rFonts w:cs="Arial"/>
                <w:color w:val="000000"/>
                <w:szCs w:val="22"/>
              </w:rPr>
              <w:tab/>
            </w:r>
            <w:r w:rsidRPr="00493916">
              <w:rPr>
                <w:rFonts w:cs="Arial"/>
                <w:color w:val="000000"/>
                <w:szCs w:val="22"/>
              </w:rPr>
              <w:t xml:space="preserve">Students are involved in many of these </w:t>
            </w:r>
            <w:hyperlink r:id="rId14" w:history="1">
              <w:r>
                <w:rPr>
                  <w:rStyle w:val="Hyperlink"/>
                  <w:rFonts w:eastAsiaTheme="majorEastAsia" w:cs="Arial"/>
                  <w:szCs w:val="22"/>
                </w:rPr>
                <w:t>processes</w:t>
              </w:r>
            </w:hyperlink>
            <w:r w:rsidRPr="00493916">
              <w:rPr>
                <w:rFonts w:cs="Arial"/>
                <w:color w:val="000000"/>
                <w:szCs w:val="22"/>
              </w:rPr>
              <w:t xml:space="preserve">. The emphasis here is upon the </w:t>
            </w:r>
            <w:r w:rsidRPr="00493916">
              <w:rPr>
                <w:rFonts w:cs="Arial"/>
                <w:i/>
                <w:color w:val="000000"/>
                <w:szCs w:val="22"/>
              </w:rPr>
              <w:lastRenderedPageBreak/>
              <w:t>informed</w:t>
            </w:r>
            <w:r w:rsidRPr="00493916">
              <w:rPr>
                <w:rFonts w:cs="Arial"/>
                <w:color w:val="000000"/>
                <w:szCs w:val="22"/>
              </w:rPr>
              <w:t xml:space="preserve"> student voice - engaging with students as academic citizens to ensure they have opportunities to take an active part in shaping their own learning. </w:t>
            </w:r>
          </w:p>
          <w:p w14:paraId="52D843E5" w14:textId="77777777" w:rsidR="00950935" w:rsidRPr="00DC4DBC" w:rsidRDefault="00950935" w:rsidP="000E23F9">
            <w:pPr>
              <w:tabs>
                <w:tab w:val="left" w:pos="421"/>
              </w:tabs>
              <w:ind w:left="421" w:hanging="425"/>
              <w:rPr>
                <w:rFonts w:cs="Arial"/>
                <w:color w:val="000000"/>
                <w:sz w:val="14"/>
                <w:szCs w:val="14"/>
              </w:rPr>
            </w:pPr>
          </w:p>
          <w:p w14:paraId="4DB182C7" w14:textId="77777777" w:rsidR="00950935" w:rsidRDefault="00950935" w:rsidP="000E23F9">
            <w:pPr>
              <w:tabs>
                <w:tab w:val="left" w:pos="-4"/>
              </w:tabs>
              <w:ind w:left="-4"/>
              <w:rPr>
                <w:rFonts w:cs="Arial"/>
                <w:color w:val="000000"/>
                <w:szCs w:val="22"/>
              </w:rPr>
            </w:pPr>
            <w:r w:rsidRPr="00493916">
              <w:rPr>
                <w:rFonts w:cs="Arial"/>
                <w:color w:val="000000"/>
                <w:szCs w:val="22"/>
              </w:rPr>
              <w:t>A more detailed overview of the University’s</w:t>
            </w:r>
            <w:r>
              <w:rPr>
                <w:rFonts w:cs="Arial"/>
                <w:color w:val="000000"/>
                <w:szCs w:val="22"/>
              </w:rPr>
              <w:t xml:space="preserve"> </w:t>
            </w:r>
            <w:hyperlink r:id="rId15" w:history="1">
              <w:r>
                <w:rPr>
                  <w:rStyle w:val="Hyperlink"/>
                  <w:rFonts w:eastAsiaTheme="majorEastAsia" w:cs="Arial"/>
                  <w:szCs w:val="22"/>
                </w:rPr>
                <w:t>Quality Management Framework</w:t>
              </w:r>
            </w:hyperlink>
            <w:r>
              <w:rPr>
                <w:rFonts w:cs="Arial"/>
                <w:color w:val="000000"/>
                <w:szCs w:val="22"/>
              </w:rPr>
              <w:t xml:space="preserve"> </w:t>
            </w:r>
            <w:r w:rsidRPr="00493916">
              <w:rPr>
                <w:rFonts w:cs="Arial"/>
                <w:color w:val="000000"/>
                <w:szCs w:val="22"/>
              </w:rPr>
              <w:t>is set out in</w:t>
            </w:r>
            <w:r>
              <w:rPr>
                <w:rFonts w:cs="Arial"/>
                <w:color w:val="000000"/>
                <w:szCs w:val="22"/>
              </w:rPr>
              <w:t xml:space="preserve"> a summary document.</w:t>
            </w:r>
          </w:p>
          <w:p w14:paraId="2DF2FD49" w14:textId="77777777" w:rsidR="00950935" w:rsidRPr="00DC4DBC" w:rsidRDefault="00950935" w:rsidP="000E23F9">
            <w:pPr>
              <w:tabs>
                <w:tab w:val="left" w:pos="-4"/>
              </w:tabs>
              <w:ind w:left="-4"/>
              <w:rPr>
                <w:rFonts w:cs="Arial"/>
                <w:color w:val="000000"/>
                <w:sz w:val="10"/>
                <w:szCs w:val="10"/>
              </w:rPr>
            </w:pPr>
          </w:p>
          <w:p w14:paraId="5DEBB00F" w14:textId="77777777" w:rsidR="00950935" w:rsidRPr="00DD604B" w:rsidRDefault="00950935" w:rsidP="000E23F9">
            <w:pPr>
              <w:ind w:right="13"/>
              <w:rPr>
                <w:rFonts w:cs="Arial"/>
                <w:color w:val="000000"/>
                <w:szCs w:val="22"/>
              </w:rPr>
            </w:pPr>
            <w:r>
              <w:rPr>
                <w:rFonts w:eastAsia="Arial" w:cs="Arial"/>
                <w:color w:val="000000"/>
                <w:spacing w:val="2"/>
              </w:rPr>
              <w:t xml:space="preserve">The University was awarded </w:t>
            </w:r>
            <w:hyperlink r:id="rId16" w:anchor="/" w:history="1">
              <w:r>
                <w:rPr>
                  <w:rStyle w:val="Hyperlink"/>
                  <w:rFonts w:eastAsia="Arial" w:cs="Arial"/>
                  <w:spacing w:val="2"/>
                </w:rPr>
                <w:t>Gold</w:t>
              </w:r>
            </w:hyperlink>
            <w:r>
              <w:rPr>
                <w:rFonts w:eastAsia="Arial" w:cs="Arial"/>
                <w:color w:val="000000"/>
                <w:spacing w:val="2"/>
              </w:rPr>
              <w:t xml:space="preserve"> in the Teaching Excellence Framework (TEF) 2017. This signifies that the university delivers consistently outstanding teaching, learning and outcomes for its students and that the university is of the highest quality found in the UK. The TEF panel highlighted </w:t>
            </w:r>
            <w:r>
              <w:rPr>
                <w:rStyle w:val="apple-converted-space"/>
                <w:rFonts w:ascii="Helvetica" w:hAnsi="Helvetica"/>
                <w:color w:val="202226"/>
                <w:shd w:val="clear" w:color="auto" w:fill="FFFFFF"/>
              </w:rPr>
              <w:t xml:space="preserve">the university’s </w:t>
            </w:r>
            <w:r>
              <w:rPr>
                <w:rFonts w:ascii="Helvetica" w:hAnsi="Helvetica"/>
                <w:color w:val="202226"/>
                <w:shd w:val="clear" w:color="auto" w:fill="FFFFFF"/>
              </w:rPr>
              <w:t>strong employment orientation, an embedded culture which values students as co-creators of learning, physical and digital resources of the highest quality, consistent and frequent engagement of students with developments from the forefront of research, and an embedded strategy that facilitates, recognises and rewards excellent teaching.</w:t>
            </w:r>
          </w:p>
        </w:tc>
      </w:tr>
    </w:tbl>
    <w:p w14:paraId="40D918EB" w14:textId="77777777" w:rsidR="00950935" w:rsidRPr="00DC4DBC" w:rsidRDefault="00950935" w:rsidP="00950935">
      <w:pPr>
        <w:rPr>
          <w:sz w:val="8"/>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50935" w:rsidRPr="00EC2357" w14:paraId="38C6BC92" w14:textId="77777777" w:rsidTr="000E23F9">
        <w:trPr>
          <w:trHeight w:val="132"/>
          <w:jc w:val="center"/>
        </w:trPr>
        <w:tc>
          <w:tcPr>
            <w:tcW w:w="9288" w:type="dxa"/>
            <w:tcBorders>
              <w:bottom w:val="dashed" w:sz="4" w:space="0" w:color="auto"/>
            </w:tcBorders>
            <w:shd w:val="clear" w:color="auto" w:fill="auto"/>
          </w:tcPr>
          <w:p w14:paraId="639DD379" w14:textId="77777777" w:rsidR="00950935" w:rsidRPr="00EC2357" w:rsidRDefault="00950935" w:rsidP="000E23F9">
            <w:pPr>
              <w:spacing w:before="120" w:after="60"/>
              <w:rPr>
                <w:rFonts w:cs="Arial"/>
                <w:b/>
              </w:rPr>
            </w:pPr>
            <w:r w:rsidRPr="00EC2357">
              <w:rPr>
                <w:rFonts w:cs="Arial"/>
                <w:b/>
              </w:rPr>
              <w:t>Sources of other information</w:t>
            </w:r>
          </w:p>
        </w:tc>
      </w:tr>
      <w:tr w:rsidR="00950935" w:rsidRPr="00EC2357" w14:paraId="30CD456F" w14:textId="77777777" w:rsidTr="000E23F9">
        <w:trPr>
          <w:trHeight w:val="142"/>
          <w:jc w:val="center"/>
        </w:trPr>
        <w:tc>
          <w:tcPr>
            <w:tcW w:w="9288" w:type="dxa"/>
            <w:tcBorders>
              <w:top w:val="dashed" w:sz="4" w:space="0" w:color="auto"/>
            </w:tcBorders>
            <w:shd w:val="clear" w:color="auto" w:fill="auto"/>
          </w:tcPr>
          <w:p w14:paraId="3B3D114B" w14:textId="77777777" w:rsidR="00950935" w:rsidRPr="00EC2357" w:rsidRDefault="00950935" w:rsidP="000E23F9">
            <w:pPr>
              <w:rPr>
                <w:rFonts w:cs="Arial"/>
              </w:rPr>
            </w:pPr>
            <w:r>
              <w:rPr>
                <w:rFonts w:cs="Arial"/>
              </w:rPr>
              <w:t>n/a</w:t>
            </w:r>
          </w:p>
        </w:tc>
      </w:tr>
    </w:tbl>
    <w:p w14:paraId="4DED8F56" w14:textId="77777777" w:rsidR="00950935" w:rsidRPr="00AA019F" w:rsidRDefault="00950935" w:rsidP="00950935">
      <w:pPr>
        <w:jc w:val="left"/>
        <w:rPr>
          <w:iCs/>
        </w:rPr>
      </w:pPr>
    </w:p>
    <w:p w14:paraId="2DA0B22E" w14:textId="77777777" w:rsidR="00DD63C7" w:rsidRDefault="00DD63C7"/>
    <w:sectPr w:rsidR="00DD63C7" w:rsidSect="0041662E">
      <w:footerReference w:type="default" r:id="rId17"/>
      <w:pgSz w:w="11906" w:h="16838"/>
      <w:pgMar w:top="756"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03FA" w14:textId="77777777" w:rsidR="00D16E6A" w:rsidRDefault="00F80715">
      <w:r>
        <w:separator/>
      </w:r>
    </w:p>
  </w:endnote>
  <w:endnote w:type="continuationSeparator" w:id="0">
    <w:p w14:paraId="17D2243E" w14:textId="77777777" w:rsidR="00D16E6A" w:rsidRDefault="00F8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9032961"/>
      <w:docPartObj>
        <w:docPartGallery w:val="Page Numbers (Bottom of Page)"/>
        <w:docPartUnique/>
      </w:docPartObj>
    </w:sdtPr>
    <w:sdtEndPr>
      <w:rPr>
        <w:noProof/>
      </w:rPr>
    </w:sdtEndPr>
    <w:sdtContent>
      <w:p w14:paraId="50F64322" w14:textId="77777777" w:rsidR="00365BD7" w:rsidRPr="00CD462D" w:rsidRDefault="00950935" w:rsidP="00875E76">
        <w:pPr>
          <w:pStyle w:val="Footer"/>
          <w:jc w:val="center"/>
          <w:rPr>
            <w:sz w:val="20"/>
            <w:szCs w:val="20"/>
          </w:rPr>
        </w:pPr>
        <w:r w:rsidRPr="00CD462D">
          <w:rPr>
            <w:sz w:val="20"/>
            <w:szCs w:val="20"/>
          </w:rPr>
          <w:t xml:space="preserve">- </w:t>
        </w:r>
        <w:r w:rsidRPr="00CD462D">
          <w:rPr>
            <w:sz w:val="20"/>
            <w:szCs w:val="20"/>
          </w:rPr>
          <w:fldChar w:fldCharType="begin"/>
        </w:r>
        <w:r w:rsidRPr="00CD462D">
          <w:rPr>
            <w:sz w:val="20"/>
            <w:szCs w:val="20"/>
          </w:rPr>
          <w:instrText xml:space="preserve"> PAGE   \* MERGEFORMAT </w:instrText>
        </w:r>
        <w:r w:rsidRPr="00CD462D">
          <w:rPr>
            <w:sz w:val="20"/>
            <w:szCs w:val="20"/>
          </w:rPr>
          <w:fldChar w:fldCharType="separate"/>
        </w:r>
        <w:r>
          <w:rPr>
            <w:noProof/>
            <w:sz w:val="20"/>
            <w:szCs w:val="20"/>
          </w:rPr>
          <w:t>4</w:t>
        </w:r>
        <w:r w:rsidRPr="00CD462D">
          <w:rPr>
            <w:noProof/>
            <w:sz w:val="20"/>
            <w:szCs w:val="20"/>
          </w:rPr>
          <w:fldChar w:fldCharType="end"/>
        </w:r>
        <w:r w:rsidRPr="00CD462D">
          <w:rPr>
            <w:noProof/>
            <w:sz w:val="20"/>
            <w:szCs w:val="20"/>
          </w:rPr>
          <w:t xml:space="preserve"> -</w:t>
        </w:r>
      </w:p>
    </w:sdtContent>
  </w:sdt>
  <w:p w14:paraId="127A3F87" w14:textId="77777777" w:rsidR="00365BD7" w:rsidRDefault="004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8D9B0" w14:textId="77777777" w:rsidR="00D16E6A" w:rsidRDefault="00F80715">
      <w:r>
        <w:separator/>
      </w:r>
    </w:p>
  </w:footnote>
  <w:footnote w:type="continuationSeparator" w:id="0">
    <w:p w14:paraId="0AE3B5D4" w14:textId="77777777" w:rsidR="00D16E6A" w:rsidRDefault="00F80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A7483"/>
    <w:multiLevelType w:val="hybridMultilevel"/>
    <w:tmpl w:val="2CFC1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1D2F9A"/>
    <w:multiLevelType w:val="hybridMultilevel"/>
    <w:tmpl w:val="B972BDBA"/>
    <w:lvl w:ilvl="0" w:tplc="C6C61F5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96D12"/>
    <w:multiLevelType w:val="hybridMultilevel"/>
    <w:tmpl w:val="2A461B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F4368C"/>
    <w:multiLevelType w:val="hybridMultilevel"/>
    <w:tmpl w:val="B63C91EA"/>
    <w:lvl w:ilvl="0" w:tplc="04090001">
      <w:start w:val="1"/>
      <w:numFmt w:val="bullet"/>
      <w:lvlText w:val=""/>
      <w:lvlJc w:val="left"/>
      <w:pPr>
        <w:tabs>
          <w:tab w:val="num" w:pos="438"/>
        </w:tabs>
        <w:ind w:left="438" w:hanging="360"/>
      </w:pPr>
      <w:rPr>
        <w:rFonts w:ascii="Symbol" w:hAnsi="Symbol" w:hint="default"/>
      </w:rPr>
    </w:lvl>
    <w:lvl w:ilvl="1" w:tplc="08090003" w:tentative="1">
      <w:start w:val="1"/>
      <w:numFmt w:val="bullet"/>
      <w:lvlText w:val="o"/>
      <w:lvlJc w:val="left"/>
      <w:pPr>
        <w:tabs>
          <w:tab w:val="num" w:pos="1158"/>
        </w:tabs>
        <w:ind w:left="1158" w:hanging="360"/>
      </w:pPr>
      <w:rPr>
        <w:rFonts w:ascii="Courier New" w:hAnsi="Courier New" w:hint="default"/>
      </w:rPr>
    </w:lvl>
    <w:lvl w:ilvl="2" w:tplc="08090005" w:tentative="1">
      <w:start w:val="1"/>
      <w:numFmt w:val="bullet"/>
      <w:lvlText w:val=""/>
      <w:lvlJc w:val="left"/>
      <w:pPr>
        <w:tabs>
          <w:tab w:val="num" w:pos="1878"/>
        </w:tabs>
        <w:ind w:left="1878" w:hanging="360"/>
      </w:pPr>
      <w:rPr>
        <w:rFonts w:ascii="Wingdings" w:hAnsi="Wingdings" w:hint="default"/>
      </w:rPr>
    </w:lvl>
    <w:lvl w:ilvl="3" w:tplc="08090001" w:tentative="1">
      <w:start w:val="1"/>
      <w:numFmt w:val="bullet"/>
      <w:lvlText w:val=""/>
      <w:lvlJc w:val="left"/>
      <w:pPr>
        <w:tabs>
          <w:tab w:val="num" w:pos="2598"/>
        </w:tabs>
        <w:ind w:left="2598" w:hanging="360"/>
      </w:pPr>
      <w:rPr>
        <w:rFonts w:ascii="Symbol" w:hAnsi="Symbol" w:hint="default"/>
      </w:rPr>
    </w:lvl>
    <w:lvl w:ilvl="4" w:tplc="08090003" w:tentative="1">
      <w:start w:val="1"/>
      <w:numFmt w:val="bullet"/>
      <w:lvlText w:val="o"/>
      <w:lvlJc w:val="left"/>
      <w:pPr>
        <w:tabs>
          <w:tab w:val="num" w:pos="3318"/>
        </w:tabs>
        <w:ind w:left="3318" w:hanging="360"/>
      </w:pPr>
      <w:rPr>
        <w:rFonts w:ascii="Courier New" w:hAnsi="Courier New" w:hint="default"/>
      </w:rPr>
    </w:lvl>
    <w:lvl w:ilvl="5" w:tplc="08090005" w:tentative="1">
      <w:start w:val="1"/>
      <w:numFmt w:val="bullet"/>
      <w:lvlText w:val=""/>
      <w:lvlJc w:val="left"/>
      <w:pPr>
        <w:tabs>
          <w:tab w:val="num" w:pos="4038"/>
        </w:tabs>
        <w:ind w:left="4038" w:hanging="360"/>
      </w:pPr>
      <w:rPr>
        <w:rFonts w:ascii="Wingdings" w:hAnsi="Wingdings" w:hint="default"/>
      </w:rPr>
    </w:lvl>
    <w:lvl w:ilvl="6" w:tplc="08090001" w:tentative="1">
      <w:start w:val="1"/>
      <w:numFmt w:val="bullet"/>
      <w:lvlText w:val=""/>
      <w:lvlJc w:val="left"/>
      <w:pPr>
        <w:tabs>
          <w:tab w:val="num" w:pos="4758"/>
        </w:tabs>
        <w:ind w:left="4758" w:hanging="360"/>
      </w:pPr>
      <w:rPr>
        <w:rFonts w:ascii="Symbol" w:hAnsi="Symbol" w:hint="default"/>
      </w:rPr>
    </w:lvl>
    <w:lvl w:ilvl="7" w:tplc="08090003" w:tentative="1">
      <w:start w:val="1"/>
      <w:numFmt w:val="bullet"/>
      <w:lvlText w:val="o"/>
      <w:lvlJc w:val="left"/>
      <w:pPr>
        <w:tabs>
          <w:tab w:val="num" w:pos="5478"/>
        </w:tabs>
        <w:ind w:left="5478" w:hanging="360"/>
      </w:pPr>
      <w:rPr>
        <w:rFonts w:ascii="Courier New" w:hAnsi="Courier New" w:hint="default"/>
      </w:rPr>
    </w:lvl>
    <w:lvl w:ilvl="8" w:tplc="08090005" w:tentative="1">
      <w:start w:val="1"/>
      <w:numFmt w:val="bullet"/>
      <w:lvlText w:val=""/>
      <w:lvlJc w:val="left"/>
      <w:pPr>
        <w:tabs>
          <w:tab w:val="num" w:pos="6198"/>
        </w:tabs>
        <w:ind w:left="6198" w:hanging="360"/>
      </w:pPr>
      <w:rPr>
        <w:rFonts w:ascii="Wingdings" w:hAnsi="Wingdings" w:hint="default"/>
      </w:rPr>
    </w:lvl>
  </w:abstractNum>
  <w:abstractNum w:abstractNumId="4" w15:restartNumberingAfterBreak="0">
    <w:nsid w:val="77CB7F9A"/>
    <w:multiLevelType w:val="hybridMultilevel"/>
    <w:tmpl w:val="399ECC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35"/>
    <w:rsid w:val="0041662E"/>
    <w:rsid w:val="00950935"/>
    <w:rsid w:val="00A43F89"/>
    <w:rsid w:val="00D16E6A"/>
    <w:rsid w:val="00DD63C7"/>
    <w:rsid w:val="00F80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4019"/>
  <w15:chartTrackingRefBased/>
  <w15:docId w15:val="{0498DC83-EC33-4996-86C3-899065EB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35"/>
    <w:pPr>
      <w:widowControl w:val="0"/>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935"/>
    <w:pPr>
      <w:tabs>
        <w:tab w:val="center" w:pos="4513"/>
        <w:tab w:val="right" w:pos="9026"/>
      </w:tabs>
    </w:pPr>
  </w:style>
  <w:style w:type="character" w:customStyle="1" w:styleId="HeaderChar">
    <w:name w:val="Header Char"/>
    <w:basedOn w:val="DefaultParagraphFont"/>
    <w:link w:val="Header"/>
    <w:uiPriority w:val="99"/>
    <w:rsid w:val="00950935"/>
    <w:rPr>
      <w:rFonts w:ascii="Arial" w:eastAsia="Times New Roman" w:hAnsi="Arial" w:cs="Times New Roman"/>
      <w:szCs w:val="24"/>
    </w:rPr>
  </w:style>
  <w:style w:type="paragraph" w:styleId="Footer">
    <w:name w:val="footer"/>
    <w:basedOn w:val="Normal"/>
    <w:link w:val="FooterChar"/>
    <w:uiPriority w:val="99"/>
    <w:unhideWhenUsed/>
    <w:rsid w:val="00950935"/>
    <w:pPr>
      <w:tabs>
        <w:tab w:val="center" w:pos="4513"/>
        <w:tab w:val="right" w:pos="9026"/>
      </w:tabs>
    </w:pPr>
  </w:style>
  <w:style w:type="character" w:customStyle="1" w:styleId="FooterChar">
    <w:name w:val="Footer Char"/>
    <w:basedOn w:val="DefaultParagraphFont"/>
    <w:link w:val="Footer"/>
    <w:uiPriority w:val="99"/>
    <w:rsid w:val="00950935"/>
    <w:rPr>
      <w:rFonts w:ascii="Arial" w:eastAsia="Times New Roman" w:hAnsi="Arial" w:cs="Times New Roman"/>
      <w:szCs w:val="24"/>
    </w:rPr>
  </w:style>
  <w:style w:type="character" w:styleId="Hyperlink">
    <w:name w:val="Hyperlink"/>
    <w:basedOn w:val="DefaultParagraphFont"/>
    <w:uiPriority w:val="99"/>
    <w:unhideWhenUsed/>
    <w:rsid w:val="00950935"/>
    <w:rPr>
      <w:color w:val="0563C1" w:themeColor="hyperlink"/>
      <w:u w:val="single"/>
    </w:rPr>
  </w:style>
  <w:style w:type="character" w:customStyle="1" w:styleId="apple-converted-space">
    <w:name w:val="apple-converted-space"/>
    <w:rsid w:val="00950935"/>
  </w:style>
  <w:style w:type="paragraph" w:styleId="Title">
    <w:name w:val="Title"/>
    <w:basedOn w:val="Normal"/>
    <w:next w:val="Normal"/>
    <w:link w:val="TitleChar"/>
    <w:uiPriority w:val="10"/>
    <w:qFormat/>
    <w:rsid w:val="00F807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7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13" Type="http://schemas.openxmlformats.org/officeDocument/2006/relationships/hyperlink" Target="http://www.bath.ac.uk/quality/documents/QA3-PS-Guid-QS-ASD.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th.ac.uk/quality/documents/QA3-PS-Guid-QS-RevMon.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fficeforstudents.org.uk/advice-and-guidance/teaching/tef-outc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h.ac.uk/quality/documents/QA3-PS-Guid-QS-Gov.docx" TargetMode="External"/><Relationship Id="rId5" Type="http://schemas.openxmlformats.org/officeDocument/2006/relationships/footnotes" Target="footnotes.xml"/><Relationship Id="rId15" Type="http://schemas.openxmlformats.org/officeDocument/2006/relationships/hyperlink" Target="http://www.bath.ac.uk/quality/documents/approach-to-quality-management.pdf" TargetMode="External"/><Relationship Id="rId10" Type="http://schemas.openxmlformats.org/officeDocument/2006/relationships/hyperlink" Target="http://www.bath.ac.uk/quality/cop/statemen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aa.ac.uk/docs/qaa/quality-code/qualifications-frameworks.pdf" TargetMode="External"/><Relationship Id="rId14" Type="http://schemas.openxmlformats.org/officeDocument/2006/relationships/hyperlink" Target="http://www.bath.ac.uk/quality/documents/QA3-PS-Guid-QS-StuVoi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1247</Words>
  <Characters>7273</Characters>
  <Application>Microsoft Office Word</Application>
  <DocSecurity>0</DocSecurity>
  <Lines>191</Lines>
  <Paragraphs>102</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Norris</dc:creator>
  <cp:keywords/>
  <dc:description/>
  <cp:lastModifiedBy>James Olver</cp:lastModifiedBy>
  <cp:revision>4</cp:revision>
  <dcterms:created xsi:type="dcterms:W3CDTF">2021-06-17T09:25:00Z</dcterms:created>
  <dcterms:modified xsi:type="dcterms:W3CDTF">2021-06-17T10:43:00Z</dcterms:modified>
</cp:coreProperties>
</file>